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ACACD" w14:textId="1C898067" w:rsidR="009717FB" w:rsidRPr="00C26F26" w:rsidRDefault="009717FB" w:rsidP="009717FB">
      <w:pPr>
        <w:pStyle w:val="Textoindependiente"/>
        <w:jc w:val="center"/>
        <w:rPr>
          <w:rFonts w:asciiTheme="minorHAnsi" w:hAnsiTheme="minorHAnsi" w:cstheme="minorHAnsi"/>
        </w:rPr>
      </w:pPr>
    </w:p>
    <w:p w14:paraId="4D62C33C" w14:textId="02312F6B" w:rsidR="009717FB" w:rsidRPr="00C26F26" w:rsidRDefault="00302994" w:rsidP="009717FB">
      <w:pPr>
        <w:pStyle w:val="Textoindependiente"/>
        <w:jc w:val="center"/>
        <w:rPr>
          <w:rFonts w:asciiTheme="minorHAnsi" w:hAnsiTheme="minorHAnsi" w:cstheme="minorHAnsi"/>
        </w:rPr>
      </w:pPr>
      <w:r>
        <w:rPr>
          <w:noProof/>
        </w:rPr>
        <w:drawing>
          <wp:inline distT="0" distB="0" distL="0" distR="0" wp14:anchorId="33F4D172" wp14:editId="1C80F55E">
            <wp:extent cx="5400040" cy="1517650"/>
            <wp:effectExtent l="0" t="0" r="0" b="6350"/>
            <wp:docPr id="2017653447"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53447" name="Imagen 1" descr="Texto&#10;&#10;Descripción generada automáticamente con confianza baja"/>
                    <pic:cNvPicPr/>
                  </pic:nvPicPr>
                  <pic:blipFill>
                    <a:blip r:embed="rId11"/>
                    <a:stretch>
                      <a:fillRect/>
                    </a:stretch>
                  </pic:blipFill>
                  <pic:spPr>
                    <a:xfrm>
                      <a:off x="0" y="0"/>
                      <a:ext cx="5400040" cy="1517650"/>
                    </a:xfrm>
                    <a:prstGeom prst="rect">
                      <a:avLst/>
                    </a:prstGeom>
                  </pic:spPr>
                </pic:pic>
              </a:graphicData>
            </a:graphic>
          </wp:inline>
        </w:drawing>
      </w:r>
    </w:p>
    <w:p w14:paraId="60E8A771" w14:textId="1C4E55A7" w:rsidR="009717FB" w:rsidRPr="00C26F26" w:rsidRDefault="009717FB" w:rsidP="009717FB">
      <w:pPr>
        <w:pStyle w:val="Textoindependiente"/>
        <w:spacing w:line="360" w:lineRule="auto"/>
        <w:jc w:val="center"/>
        <w:rPr>
          <w:rFonts w:asciiTheme="minorHAnsi" w:hAnsiTheme="minorHAnsi" w:cstheme="minorHAnsi"/>
          <w:sz w:val="36"/>
          <w:szCs w:val="36"/>
          <w:u w:val="none"/>
        </w:rPr>
      </w:pPr>
    </w:p>
    <w:p w14:paraId="586C8CC4" w14:textId="0CAD61FA" w:rsidR="009717FB" w:rsidRPr="00C26F26" w:rsidRDefault="009717FB" w:rsidP="009717FB">
      <w:pPr>
        <w:pStyle w:val="Textoindependiente"/>
        <w:spacing w:line="360" w:lineRule="auto"/>
        <w:jc w:val="center"/>
        <w:rPr>
          <w:rFonts w:asciiTheme="minorHAnsi" w:hAnsiTheme="minorHAnsi" w:cstheme="minorHAnsi"/>
          <w:sz w:val="36"/>
          <w:szCs w:val="36"/>
          <w:u w:val="none"/>
        </w:rPr>
      </w:pPr>
    </w:p>
    <w:p w14:paraId="46B9A25F" w14:textId="1E2139E6" w:rsidR="009717FB" w:rsidRPr="006E392C" w:rsidRDefault="00C8501F" w:rsidP="009717FB">
      <w:pPr>
        <w:pStyle w:val="Textoindependiente"/>
        <w:spacing w:line="360" w:lineRule="auto"/>
        <w:jc w:val="center"/>
        <w:rPr>
          <w:rFonts w:ascii="Century Gothic" w:hAnsi="Century Gothic" w:cstheme="minorHAnsi"/>
          <w:sz w:val="40"/>
          <w:szCs w:val="40"/>
          <w:u w:val="none"/>
        </w:rPr>
      </w:pPr>
      <w:r>
        <w:rPr>
          <w:rFonts w:ascii="Century Gothic" w:hAnsi="Century Gothic" w:cstheme="minorHAnsi"/>
          <w:sz w:val="40"/>
          <w:szCs w:val="40"/>
          <w:u w:val="none"/>
        </w:rPr>
        <w:t>MODELO DE AYUDA PARA LA ELABOR</w:t>
      </w:r>
      <w:r w:rsidR="00296837">
        <w:rPr>
          <w:rFonts w:ascii="Century Gothic" w:hAnsi="Century Gothic" w:cstheme="minorHAnsi"/>
          <w:sz w:val="40"/>
          <w:szCs w:val="40"/>
          <w:u w:val="none"/>
        </w:rPr>
        <w:t>A</w:t>
      </w:r>
      <w:r>
        <w:rPr>
          <w:rFonts w:ascii="Century Gothic" w:hAnsi="Century Gothic" w:cstheme="minorHAnsi"/>
          <w:sz w:val="40"/>
          <w:szCs w:val="40"/>
          <w:u w:val="none"/>
        </w:rPr>
        <w:t xml:space="preserve">CIÓN DEL </w:t>
      </w:r>
      <w:r w:rsidR="009717FB" w:rsidRPr="006E392C">
        <w:rPr>
          <w:rFonts w:ascii="Century Gothic" w:hAnsi="Century Gothic" w:cstheme="minorHAnsi"/>
          <w:sz w:val="40"/>
          <w:szCs w:val="40"/>
          <w:u w:val="none"/>
        </w:rPr>
        <w:t xml:space="preserve">PLIEGO DE </w:t>
      </w:r>
      <w:r w:rsidR="00134311">
        <w:rPr>
          <w:rFonts w:ascii="Century Gothic" w:hAnsi="Century Gothic" w:cstheme="minorHAnsi"/>
          <w:sz w:val="40"/>
          <w:szCs w:val="40"/>
          <w:u w:val="none"/>
        </w:rPr>
        <w:t>CONDICIONES</w:t>
      </w:r>
      <w:r w:rsidR="009717FB" w:rsidRPr="006E392C">
        <w:rPr>
          <w:rFonts w:ascii="Century Gothic" w:hAnsi="Century Gothic" w:cstheme="minorHAnsi"/>
          <w:sz w:val="40"/>
          <w:szCs w:val="40"/>
          <w:u w:val="none"/>
        </w:rPr>
        <w:t xml:space="preserve"> PARTICULARES</w:t>
      </w:r>
    </w:p>
    <w:p w14:paraId="5A96F658" w14:textId="289CCBD1" w:rsidR="009717FB" w:rsidRPr="006E392C" w:rsidRDefault="009717FB" w:rsidP="009717FB">
      <w:pPr>
        <w:pStyle w:val="Textoindependiente"/>
        <w:spacing w:line="360" w:lineRule="auto"/>
        <w:jc w:val="center"/>
        <w:rPr>
          <w:rFonts w:ascii="Century Gothic" w:hAnsi="Century Gothic" w:cstheme="minorHAnsi"/>
          <w:sz w:val="40"/>
          <w:szCs w:val="40"/>
          <w:u w:val="none"/>
        </w:rPr>
      </w:pPr>
      <w:r w:rsidRPr="006E392C">
        <w:rPr>
          <w:rFonts w:ascii="Century Gothic" w:hAnsi="Century Gothic" w:cstheme="minorHAnsi"/>
          <w:sz w:val="40"/>
          <w:szCs w:val="40"/>
          <w:u w:val="none"/>
        </w:rPr>
        <w:t>DEL SERVICIO DE</w:t>
      </w:r>
      <w:r w:rsidR="00AE2ED1" w:rsidRPr="006E392C">
        <w:rPr>
          <w:rFonts w:ascii="Century Gothic" w:hAnsi="Century Gothic" w:cstheme="minorHAnsi"/>
          <w:sz w:val="40"/>
          <w:szCs w:val="40"/>
          <w:u w:val="none"/>
        </w:rPr>
        <w:t xml:space="preserve"> </w:t>
      </w:r>
      <w:r w:rsidR="00F60AED">
        <w:rPr>
          <w:rFonts w:ascii="Century Gothic" w:hAnsi="Century Gothic" w:cstheme="minorHAnsi"/>
          <w:sz w:val="40"/>
          <w:szCs w:val="40"/>
          <w:u w:val="none"/>
        </w:rPr>
        <w:t>SUMINISTRO</w:t>
      </w:r>
      <w:r w:rsidR="00C25945">
        <w:rPr>
          <w:rFonts w:ascii="Century Gothic" w:hAnsi="Century Gothic" w:cstheme="minorHAnsi"/>
          <w:sz w:val="40"/>
          <w:szCs w:val="40"/>
          <w:u w:val="none"/>
        </w:rPr>
        <w:t xml:space="preserve"> </w:t>
      </w:r>
      <w:r w:rsidR="00D61B59">
        <w:rPr>
          <w:rFonts w:ascii="Century Gothic" w:hAnsi="Century Gothic" w:cstheme="minorHAnsi"/>
          <w:sz w:val="40"/>
          <w:szCs w:val="40"/>
          <w:u w:val="none"/>
        </w:rPr>
        <w:t xml:space="preserve">DE GAS </w:t>
      </w:r>
      <w:r w:rsidR="00BD71E1">
        <w:rPr>
          <w:rFonts w:ascii="Century Gothic" w:hAnsi="Century Gothic" w:cstheme="minorHAnsi"/>
          <w:sz w:val="40"/>
          <w:szCs w:val="40"/>
          <w:u w:val="none"/>
        </w:rPr>
        <w:t xml:space="preserve">NATURAL </w:t>
      </w:r>
      <w:r w:rsidR="00D61B59">
        <w:rPr>
          <w:rFonts w:ascii="Century Gothic" w:hAnsi="Century Gothic" w:cstheme="minorHAnsi"/>
          <w:sz w:val="40"/>
          <w:szCs w:val="40"/>
          <w:u w:val="none"/>
        </w:rPr>
        <w:t xml:space="preserve">LICUADO </w:t>
      </w:r>
      <w:r w:rsidR="00BD71E1">
        <w:rPr>
          <w:rFonts w:ascii="Century Gothic" w:hAnsi="Century Gothic" w:cstheme="minorHAnsi"/>
          <w:sz w:val="40"/>
          <w:szCs w:val="40"/>
          <w:u w:val="none"/>
        </w:rPr>
        <w:t xml:space="preserve">(GNL) </w:t>
      </w:r>
      <w:r w:rsidR="00397308">
        <w:rPr>
          <w:rFonts w:ascii="Century Gothic" w:hAnsi="Century Gothic" w:cstheme="minorHAnsi"/>
          <w:sz w:val="40"/>
          <w:szCs w:val="40"/>
          <w:u w:val="none"/>
        </w:rPr>
        <w:t xml:space="preserve">A BUQUES </w:t>
      </w:r>
      <w:r w:rsidR="00D61B59">
        <w:rPr>
          <w:rFonts w:ascii="Century Gothic" w:hAnsi="Century Gothic" w:cstheme="minorHAnsi"/>
          <w:sz w:val="40"/>
          <w:szCs w:val="40"/>
          <w:u w:val="none"/>
        </w:rPr>
        <w:t>COMO</w:t>
      </w:r>
      <w:r w:rsidR="00F60AED">
        <w:rPr>
          <w:rFonts w:ascii="Century Gothic" w:hAnsi="Century Gothic" w:cstheme="minorHAnsi"/>
          <w:sz w:val="40"/>
          <w:szCs w:val="40"/>
          <w:u w:val="none"/>
        </w:rPr>
        <w:t xml:space="preserve"> COMBUSTIBLE</w:t>
      </w:r>
    </w:p>
    <w:p w14:paraId="1E4288C2" w14:textId="77777777" w:rsidR="006E392C" w:rsidRDefault="006E392C" w:rsidP="006E392C">
      <w:pPr>
        <w:pStyle w:val="Textoindependiente"/>
        <w:spacing w:before="120" w:after="120" w:line="276" w:lineRule="auto"/>
        <w:jc w:val="center"/>
        <w:rPr>
          <w:rFonts w:ascii="Century Gothic" w:hAnsi="Century Gothic" w:cstheme="minorHAnsi"/>
          <w:sz w:val="44"/>
          <w:szCs w:val="44"/>
          <w:u w:val="none"/>
        </w:rPr>
      </w:pPr>
    </w:p>
    <w:p w14:paraId="350F587C" w14:textId="01AC39A0" w:rsidR="006E392C" w:rsidRPr="004469E9" w:rsidRDefault="006E392C" w:rsidP="006E392C">
      <w:pPr>
        <w:pStyle w:val="Textoindependiente"/>
        <w:spacing w:before="120" w:after="120" w:line="276" w:lineRule="auto"/>
        <w:jc w:val="center"/>
        <w:rPr>
          <w:rFonts w:ascii="Century Gothic" w:hAnsi="Century Gothic" w:cstheme="minorHAnsi"/>
          <w:color w:val="FF0000"/>
          <w:sz w:val="44"/>
          <w:szCs w:val="44"/>
          <w:u w:val="none"/>
        </w:rPr>
      </w:pPr>
      <w:r w:rsidRPr="00830177">
        <w:rPr>
          <w:rFonts w:ascii="Century Gothic" w:hAnsi="Century Gothic" w:cstheme="minorHAnsi"/>
          <w:sz w:val="44"/>
          <w:szCs w:val="44"/>
          <w:u w:val="none"/>
        </w:rPr>
        <w:t xml:space="preserve">Autoridad Portuaria de </w:t>
      </w:r>
      <w:r w:rsidRPr="004469E9">
        <w:rPr>
          <w:rFonts w:ascii="Century Gothic" w:hAnsi="Century Gothic" w:cstheme="minorHAnsi"/>
          <w:color w:val="FF0000"/>
          <w:sz w:val="44"/>
          <w:szCs w:val="44"/>
          <w:u w:val="none"/>
        </w:rPr>
        <w:t>XXXX</w:t>
      </w:r>
      <w:r w:rsidR="00DB1EDC">
        <w:rPr>
          <w:rFonts w:ascii="Century Gothic" w:hAnsi="Century Gothic" w:cstheme="minorHAnsi"/>
          <w:color w:val="FF0000"/>
          <w:sz w:val="44"/>
          <w:szCs w:val="44"/>
          <w:u w:val="none"/>
        </w:rPr>
        <w:t>X</w:t>
      </w:r>
      <w:r w:rsidRPr="004469E9">
        <w:rPr>
          <w:rFonts w:ascii="Century Gothic" w:hAnsi="Century Gothic" w:cstheme="minorHAnsi"/>
          <w:color w:val="FF0000"/>
          <w:sz w:val="44"/>
          <w:szCs w:val="44"/>
          <w:u w:val="none"/>
        </w:rPr>
        <w:t>X</w:t>
      </w:r>
    </w:p>
    <w:p w14:paraId="28C24B8A" w14:textId="77777777" w:rsidR="006E392C" w:rsidRPr="00F062F1" w:rsidRDefault="006E392C" w:rsidP="006E392C">
      <w:pPr>
        <w:jc w:val="both"/>
        <w:rPr>
          <w:rFonts w:ascii="Century Gothic" w:hAnsi="Century Gothic" w:cstheme="minorHAnsi"/>
          <w:b/>
          <w:sz w:val="28"/>
          <w:u w:val="single"/>
        </w:rPr>
      </w:pPr>
    </w:p>
    <w:p w14:paraId="3460844F" w14:textId="18DA0650" w:rsidR="006E392C" w:rsidRPr="00F062F1" w:rsidRDefault="006E392C" w:rsidP="006E392C">
      <w:pPr>
        <w:jc w:val="center"/>
        <w:rPr>
          <w:rFonts w:ascii="Century Gothic" w:hAnsi="Century Gothic" w:cstheme="minorHAnsi"/>
          <w:b/>
          <w:sz w:val="28"/>
        </w:rPr>
      </w:pPr>
    </w:p>
    <w:p w14:paraId="75C08C09" w14:textId="77777777" w:rsidR="006E392C" w:rsidRDefault="006E392C" w:rsidP="006E392C">
      <w:pPr>
        <w:pStyle w:val="Textoindependiente"/>
        <w:spacing w:before="120" w:after="120" w:line="276" w:lineRule="auto"/>
        <w:jc w:val="right"/>
        <w:rPr>
          <w:rFonts w:ascii="Century Gothic" w:hAnsi="Century Gothic" w:cstheme="minorHAnsi"/>
          <w:color w:val="FF0000"/>
          <w:sz w:val="36"/>
          <w:szCs w:val="36"/>
          <w:u w:val="none"/>
        </w:rPr>
      </w:pPr>
      <w:r w:rsidRPr="00F062F1">
        <w:rPr>
          <w:rFonts w:ascii="Century Gothic" w:hAnsi="Century Gothic" w:cstheme="minorHAnsi"/>
          <w:color w:val="FF0000"/>
          <w:sz w:val="36"/>
          <w:szCs w:val="36"/>
          <w:u w:val="none"/>
        </w:rPr>
        <w:t>[fecha]</w:t>
      </w:r>
    </w:p>
    <w:p w14:paraId="4BE75EAA" w14:textId="36B27E32" w:rsidR="003671B7" w:rsidRPr="003671B7" w:rsidRDefault="00A302D0" w:rsidP="006E392C">
      <w:pPr>
        <w:pStyle w:val="Textoindependiente"/>
        <w:spacing w:before="120" w:after="120" w:line="276" w:lineRule="auto"/>
        <w:jc w:val="right"/>
        <w:rPr>
          <w:rFonts w:ascii="Century Gothic" w:hAnsi="Century Gothic" w:cstheme="minorHAnsi"/>
          <w:b w:val="0"/>
          <w:bCs w:val="0"/>
          <w:color w:val="FF0000"/>
          <w:sz w:val="20"/>
          <w:szCs w:val="20"/>
          <w:u w:val="none"/>
        </w:rPr>
      </w:pPr>
      <w:bookmarkStart w:id="0" w:name="_Hlk185591906"/>
      <w:r>
        <w:rPr>
          <w:rFonts w:ascii="Century Gothic" w:hAnsi="Century Gothic" w:cstheme="minorHAnsi"/>
          <w:b w:val="0"/>
          <w:bCs w:val="0"/>
          <w:color w:val="FF0000"/>
          <w:sz w:val="20"/>
          <w:szCs w:val="20"/>
          <w:u w:val="none"/>
        </w:rPr>
        <w:t xml:space="preserve">Versión </w:t>
      </w:r>
      <w:r w:rsidR="00A971A6">
        <w:rPr>
          <w:rFonts w:ascii="Century Gothic" w:hAnsi="Century Gothic" w:cstheme="minorHAnsi"/>
          <w:b w:val="0"/>
          <w:bCs w:val="0"/>
          <w:color w:val="FF0000"/>
          <w:sz w:val="20"/>
          <w:szCs w:val="20"/>
          <w:u w:val="none"/>
        </w:rPr>
        <w:t>26</w:t>
      </w:r>
      <w:r w:rsidR="00EF6DA7">
        <w:rPr>
          <w:rFonts w:ascii="Century Gothic" w:hAnsi="Century Gothic" w:cstheme="minorHAnsi"/>
          <w:b w:val="0"/>
          <w:bCs w:val="0"/>
          <w:color w:val="FF0000"/>
          <w:sz w:val="20"/>
          <w:szCs w:val="20"/>
          <w:u w:val="none"/>
        </w:rPr>
        <w:t>0</w:t>
      </w:r>
      <w:r w:rsidR="00450A01">
        <w:rPr>
          <w:rFonts w:ascii="Century Gothic" w:hAnsi="Century Gothic" w:cstheme="minorHAnsi"/>
          <w:b w:val="0"/>
          <w:bCs w:val="0"/>
          <w:color w:val="FF0000"/>
          <w:sz w:val="20"/>
          <w:szCs w:val="20"/>
          <w:u w:val="none"/>
        </w:rPr>
        <w:t>506</w:t>
      </w:r>
    </w:p>
    <w:bookmarkEnd w:id="0" w:displacedByCustomXml="next"/>
    <w:sdt>
      <w:sdtPr>
        <w:rPr>
          <w:rFonts w:asciiTheme="minorHAnsi" w:eastAsiaTheme="minorHAnsi" w:hAnsiTheme="minorHAnsi" w:cstheme="minorBidi"/>
          <w:b w:val="0"/>
          <w:color w:val="auto"/>
          <w:sz w:val="22"/>
          <w:szCs w:val="22"/>
          <w:lang w:eastAsia="en-US"/>
        </w:rPr>
        <w:id w:val="-1855874847"/>
        <w:docPartObj>
          <w:docPartGallery w:val="Table of Contents"/>
          <w:docPartUnique/>
        </w:docPartObj>
      </w:sdtPr>
      <w:sdtEndPr>
        <w:rPr>
          <w:bCs/>
        </w:rPr>
      </w:sdtEndPr>
      <w:sdtContent>
        <w:p w14:paraId="4C1DAB8D" w14:textId="664021A2" w:rsidR="00212178" w:rsidRDefault="00212178">
          <w:pPr>
            <w:pStyle w:val="TtuloTDC"/>
          </w:pPr>
          <w:r>
            <w:t>Índice</w:t>
          </w:r>
        </w:p>
        <w:p w14:paraId="03F3B8E8" w14:textId="71ABD9C3" w:rsidR="00EA1775" w:rsidRDefault="00212178">
          <w:pPr>
            <w:pStyle w:val="TDC2"/>
            <w:rPr>
              <w:rFonts w:eastAsiaTheme="minorEastAsia"/>
              <w:noProof/>
              <w:kern w:val="2"/>
              <w:sz w:val="24"/>
              <w:szCs w:val="24"/>
              <w:lang w:eastAsia="es-ES"/>
              <w14:ligatures w14:val="standardContextual"/>
            </w:rPr>
          </w:pPr>
          <w:r>
            <w:fldChar w:fldCharType="begin"/>
          </w:r>
          <w:r>
            <w:instrText xml:space="preserve"> TOC \o "1-3" \h \z \u </w:instrText>
          </w:r>
          <w:r>
            <w:fldChar w:fldCharType="separate"/>
          </w:r>
          <w:hyperlink w:anchor="_Toc230677698" w:history="1">
            <w:r w:rsidR="00EA1775" w:rsidRPr="00FD2CEC">
              <w:rPr>
                <w:rStyle w:val="Hipervnculo"/>
                <w:rFonts w:ascii="Century Gothic" w:hAnsi="Century Gothic" w:cstheme="minorHAnsi"/>
                <w:noProof/>
              </w:rPr>
              <w:t>Condición 1ª: Objeto y fundamento legal</w:t>
            </w:r>
            <w:r w:rsidR="00EA1775">
              <w:rPr>
                <w:noProof/>
                <w:webHidden/>
              </w:rPr>
              <w:tab/>
            </w:r>
            <w:r w:rsidR="00EA1775">
              <w:rPr>
                <w:noProof/>
                <w:webHidden/>
              </w:rPr>
              <w:fldChar w:fldCharType="begin"/>
            </w:r>
            <w:r w:rsidR="00EA1775">
              <w:rPr>
                <w:noProof/>
                <w:webHidden/>
              </w:rPr>
              <w:instrText xml:space="preserve"> PAGEREF _Toc230677698 \h </w:instrText>
            </w:r>
            <w:r w:rsidR="00EA1775">
              <w:rPr>
                <w:noProof/>
                <w:webHidden/>
              </w:rPr>
            </w:r>
            <w:r w:rsidR="00EA1775">
              <w:rPr>
                <w:noProof/>
                <w:webHidden/>
              </w:rPr>
              <w:fldChar w:fldCharType="separate"/>
            </w:r>
            <w:r w:rsidR="00EA1775">
              <w:rPr>
                <w:noProof/>
                <w:webHidden/>
              </w:rPr>
              <w:t>1</w:t>
            </w:r>
            <w:r w:rsidR="00EA1775">
              <w:rPr>
                <w:noProof/>
                <w:webHidden/>
              </w:rPr>
              <w:fldChar w:fldCharType="end"/>
            </w:r>
          </w:hyperlink>
        </w:p>
        <w:p w14:paraId="38093F33" w14:textId="43CCB004" w:rsidR="00EA1775" w:rsidRDefault="00EA1775">
          <w:pPr>
            <w:pStyle w:val="TDC2"/>
            <w:rPr>
              <w:rFonts w:eastAsiaTheme="minorEastAsia"/>
              <w:noProof/>
              <w:kern w:val="2"/>
              <w:sz w:val="24"/>
              <w:szCs w:val="24"/>
              <w:lang w:eastAsia="es-ES"/>
              <w14:ligatures w14:val="standardContextual"/>
            </w:rPr>
          </w:pPr>
          <w:hyperlink w:anchor="_Toc230677699" w:history="1">
            <w:r w:rsidRPr="00FD2CEC">
              <w:rPr>
                <w:rStyle w:val="Hipervnculo"/>
                <w:rFonts w:ascii="Century Gothic" w:hAnsi="Century Gothic" w:cstheme="minorHAnsi"/>
                <w:noProof/>
              </w:rPr>
              <w:t>Condición 2ª: Definición del servicio y modalidades de suministro</w:t>
            </w:r>
            <w:r>
              <w:rPr>
                <w:noProof/>
                <w:webHidden/>
              </w:rPr>
              <w:tab/>
            </w:r>
            <w:r>
              <w:rPr>
                <w:noProof/>
                <w:webHidden/>
              </w:rPr>
              <w:fldChar w:fldCharType="begin"/>
            </w:r>
            <w:r>
              <w:rPr>
                <w:noProof/>
                <w:webHidden/>
              </w:rPr>
              <w:instrText xml:space="preserve"> PAGEREF _Toc230677699 \h </w:instrText>
            </w:r>
            <w:r>
              <w:rPr>
                <w:noProof/>
                <w:webHidden/>
              </w:rPr>
            </w:r>
            <w:r>
              <w:rPr>
                <w:noProof/>
                <w:webHidden/>
              </w:rPr>
              <w:fldChar w:fldCharType="separate"/>
            </w:r>
            <w:r>
              <w:rPr>
                <w:noProof/>
                <w:webHidden/>
              </w:rPr>
              <w:t>1</w:t>
            </w:r>
            <w:r>
              <w:rPr>
                <w:noProof/>
                <w:webHidden/>
              </w:rPr>
              <w:fldChar w:fldCharType="end"/>
            </w:r>
          </w:hyperlink>
        </w:p>
        <w:p w14:paraId="55CA53BA" w14:textId="18B89A27" w:rsidR="00EA1775" w:rsidRDefault="00EA1775">
          <w:pPr>
            <w:pStyle w:val="TDC2"/>
            <w:rPr>
              <w:rFonts w:eastAsiaTheme="minorEastAsia"/>
              <w:noProof/>
              <w:kern w:val="2"/>
              <w:sz w:val="24"/>
              <w:szCs w:val="24"/>
              <w:lang w:eastAsia="es-ES"/>
              <w14:ligatures w14:val="standardContextual"/>
            </w:rPr>
          </w:pPr>
          <w:hyperlink w:anchor="_Toc230677700" w:history="1">
            <w:r w:rsidRPr="00FD2CEC">
              <w:rPr>
                <w:rStyle w:val="Hipervnculo"/>
                <w:rFonts w:ascii="Century Gothic" w:hAnsi="Century Gothic" w:cstheme="minorHAnsi"/>
                <w:noProof/>
              </w:rPr>
              <w:t>Condición 3ª: Ámbito geográfico</w:t>
            </w:r>
            <w:r>
              <w:rPr>
                <w:noProof/>
                <w:webHidden/>
              </w:rPr>
              <w:tab/>
            </w:r>
            <w:r>
              <w:rPr>
                <w:noProof/>
                <w:webHidden/>
              </w:rPr>
              <w:fldChar w:fldCharType="begin"/>
            </w:r>
            <w:r>
              <w:rPr>
                <w:noProof/>
                <w:webHidden/>
              </w:rPr>
              <w:instrText xml:space="preserve"> PAGEREF _Toc230677700 \h </w:instrText>
            </w:r>
            <w:r>
              <w:rPr>
                <w:noProof/>
                <w:webHidden/>
              </w:rPr>
            </w:r>
            <w:r>
              <w:rPr>
                <w:noProof/>
                <w:webHidden/>
              </w:rPr>
              <w:fldChar w:fldCharType="separate"/>
            </w:r>
            <w:r>
              <w:rPr>
                <w:noProof/>
                <w:webHidden/>
              </w:rPr>
              <w:t>3</w:t>
            </w:r>
            <w:r>
              <w:rPr>
                <w:noProof/>
                <w:webHidden/>
              </w:rPr>
              <w:fldChar w:fldCharType="end"/>
            </w:r>
          </w:hyperlink>
        </w:p>
        <w:p w14:paraId="4DFAFC5B" w14:textId="4B604684" w:rsidR="00EA1775" w:rsidRDefault="00EA1775">
          <w:pPr>
            <w:pStyle w:val="TDC2"/>
            <w:rPr>
              <w:rFonts w:eastAsiaTheme="minorEastAsia"/>
              <w:noProof/>
              <w:kern w:val="2"/>
              <w:sz w:val="24"/>
              <w:szCs w:val="24"/>
              <w:lang w:eastAsia="es-ES"/>
              <w14:ligatures w14:val="standardContextual"/>
            </w:rPr>
          </w:pPr>
          <w:hyperlink w:anchor="_Toc230677701" w:history="1">
            <w:r w:rsidRPr="00FD2CEC">
              <w:rPr>
                <w:rStyle w:val="Hipervnculo"/>
                <w:rFonts w:ascii="Century Gothic" w:hAnsi="Century Gothic" w:cstheme="minorHAnsi"/>
                <w:noProof/>
              </w:rPr>
              <w:t>Condición 4ª: Plazo de vigencia de las autorizaciones</w:t>
            </w:r>
            <w:r>
              <w:rPr>
                <w:noProof/>
                <w:webHidden/>
              </w:rPr>
              <w:tab/>
            </w:r>
            <w:r>
              <w:rPr>
                <w:noProof/>
                <w:webHidden/>
              </w:rPr>
              <w:fldChar w:fldCharType="begin"/>
            </w:r>
            <w:r>
              <w:rPr>
                <w:noProof/>
                <w:webHidden/>
              </w:rPr>
              <w:instrText xml:space="preserve"> PAGEREF _Toc230677701 \h </w:instrText>
            </w:r>
            <w:r>
              <w:rPr>
                <w:noProof/>
                <w:webHidden/>
              </w:rPr>
            </w:r>
            <w:r>
              <w:rPr>
                <w:noProof/>
                <w:webHidden/>
              </w:rPr>
              <w:fldChar w:fldCharType="separate"/>
            </w:r>
            <w:r>
              <w:rPr>
                <w:noProof/>
                <w:webHidden/>
              </w:rPr>
              <w:t>3</w:t>
            </w:r>
            <w:r>
              <w:rPr>
                <w:noProof/>
                <w:webHidden/>
              </w:rPr>
              <w:fldChar w:fldCharType="end"/>
            </w:r>
          </w:hyperlink>
        </w:p>
        <w:p w14:paraId="30B01D94" w14:textId="4BCE9DCB" w:rsidR="00EA1775" w:rsidRDefault="00EA1775">
          <w:pPr>
            <w:pStyle w:val="TDC2"/>
            <w:rPr>
              <w:rFonts w:eastAsiaTheme="minorEastAsia"/>
              <w:noProof/>
              <w:kern w:val="2"/>
              <w:sz w:val="24"/>
              <w:szCs w:val="24"/>
              <w:lang w:eastAsia="es-ES"/>
              <w14:ligatures w14:val="standardContextual"/>
            </w:rPr>
          </w:pPr>
          <w:hyperlink w:anchor="_Toc230677702" w:history="1">
            <w:r w:rsidRPr="00FD2CEC">
              <w:rPr>
                <w:rStyle w:val="Hipervnculo"/>
                <w:rFonts w:ascii="Century Gothic" w:hAnsi="Century Gothic" w:cstheme="minorHAnsi"/>
                <w:noProof/>
              </w:rPr>
              <w:t>Condición 5ª: Extinción de las autorizaciones del servicio comercial</w:t>
            </w:r>
            <w:r>
              <w:rPr>
                <w:noProof/>
                <w:webHidden/>
              </w:rPr>
              <w:tab/>
            </w:r>
            <w:r>
              <w:rPr>
                <w:noProof/>
                <w:webHidden/>
              </w:rPr>
              <w:fldChar w:fldCharType="begin"/>
            </w:r>
            <w:r>
              <w:rPr>
                <w:noProof/>
                <w:webHidden/>
              </w:rPr>
              <w:instrText xml:space="preserve"> PAGEREF _Toc230677702 \h </w:instrText>
            </w:r>
            <w:r>
              <w:rPr>
                <w:noProof/>
                <w:webHidden/>
              </w:rPr>
            </w:r>
            <w:r>
              <w:rPr>
                <w:noProof/>
                <w:webHidden/>
              </w:rPr>
              <w:fldChar w:fldCharType="separate"/>
            </w:r>
            <w:r>
              <w:rPr>
                <w:noProof/>
                <w:webHidden/>
              </w:rPr>
              <w:t>3</w:t>
            </w:r>
            <w:r>
              <w:rPr>
                <w:noProof/>
                <w:webHidden/>
              </w:rPr>
              <w:fldChar w:fldCharType="end"/>
            </w:r>
          </w:hyperlink>
        </w:p>
        <w:p w14:paraId="6F6B8D88" w14:textId="1B383FC4" w:rsidR="00EA1775" w:rsidRDefault="00EA1775">
          <w:pPr>
            <w:pStyle w:val="TDC2"/>
            <w:rPr>
              <w:rFonts w:eastAsiaTheme="minorEastAsia"/>
              <w:noProof/>
              <w:kern w:val="2"/>
              <w:sz w:val="24"/>
              <w:szCs w:val="24"/>
              <w:lang w:eastAsia="es-ES"/>
              <w14:ligatures w14:val="standardContextual"/>
            </w:rPr>
          </w:pPr>
          <w:hyperlink w:anchor="_Toc230677703" w:history="1">
            <w:r w:rsidRPr="00FD2CEC">
              <w:rPr>
                <w:rStyle w:val="Hipervnculo"/>
                <w:rFonts w:ascii="Century Gothic" w:hAnsi="Century Gothic" w:cstheme="minorHAnsi"/>
                <w:noProof/>
              </w:rPr>
              <w:t>Condición 6ª: Condiciones y medios para garantizar la seguridad y calidad ambiental del servicio</w:t>
            </w:r>
            <w:r>
              <w:rPr>
                <w:noProof/>
                <w:webHidden/>
              </w:rPr>
              <w:tab/>
            </w:r>
            <w:r>
              <w:rPr>
                <w:noProof/>
                <w:webHidden/>
              </w:rPr>
              <w:fldChar w:fldCharType="begin"/>
            </w:r>
            <w:r>
              <w:rPr>
                <w:noProof/>
                <w:webHidden/>
              </w:rPr>
              <w:instrText xml:space="preserve"> PAGEREF _Toc230677703 \h </w:instrText>
            </w:r>
            <w:r>
              <w:rPr>
                <w:noProof/>
                <w:webHidden/>
              </w:rPr>
            </w:r>
            <w:r>
              <w:rPr>
                <w:noProof/>
                <w:webHidden/>
              </w:rPr>
              <w:fldChar w:fldCharType="separate"/>
            </w:r>
            <w:r>
              <w:rPr>
                <w:noProof/>
                <w:webHidden/>
              </w:rPr>
              <w:t>4</w:t>
            </w:r>
            <w:r>
              <w:rPr>
                <w:noProof/>
                <w:webHidden/>
              </w:rPr>
              <w:fldChar w:fldCharType="end"/>
            </w:r>
          </w:hyperlink>
        </w:p>
        <w:p w14:paraId="0C218149" w14:textId="21294A78" w:rsidR="00EA1775" w:rsidRDefault="00EA1775">
          <w:pPr>
            <w:pStyle w:val="TDC2"/>
            <w:tabs>
              <w:tab w:val="left" w:pos="720"/>
            </w:tabs>
            <w:rPr>
              <w:rFonts w:eastAsiaTheme="minorEastAsia"/>
              <w:noProof/>
              <w:kern w:val="2"/>
              <w:sz w:val="24"/>
              <w:szCs w:val="24"/>
              <w:lang w:eastAsia="es-ES"/>
              <w14:ligatures w14:val="standardContextual"/>
            </w:rPr>
          </w:pPr>
          <w:hyperlink w:anchor="_Toc230677704" w:history="1">
            <w:r w:rsidRPr="00FD2CEC">
              <w:rPr>
                <w:rStyle w:val="Hipervnculo"/>
                <w:rFonts w:ascii="Century Gothic" w:hAnsi="Century Gothic" w:cstheme="minorHAnsi"/>
                <w:noProof/>
              </w:rPr>
              <w:t>a.</w:t>
            </w:r>
            <w:r>
              <w:rPr>
                <w:rFonts w:eastAsiaTheme="minorEastAsia"/>
                <w:noProof/>
                <w:kern w:val="2"/>
                <w:sz w:val="24"/>
                <w:szCs w:val="24"/>
                <w:lang w:eastAsia="es-ES"/>
                <w14:ligatures w14:val="standardContextual"/>
              </w:rPr>
              <w:tab/>
            </w:r>
            <w:r w:rsidRPr="00FD2CEC">
              <w:rPr>
                <w:rStyle w:val="Hipervnculo"/>
                <w:rFonts w:ascii="Century Gothic" w:hAnsi="Century Gothic" w:cstheme="minorHAnsi"/>
                <w:noProof/>
              </w:rPr>
              <w:t>Condiciones de acceso</w:t>
            </w:r>
            <w:r>
              <w:rPr>
                <w:noProof/>
                <w:webHidden/>
              </w:rPr>
              <w:tab/>
            </w:r>
            <w:r>
              <w:rPr>
                <w:noProof/>
                <w:webHidden/>
              </w:rPr>
              <w:fldChar w:fldCharType="begin"/>
            </w:r>
            <w:r>
              <w:rPr>
                <w:noProof/>
                <w:webHidden/>
              </w:rPr>
              <w:instrText xml:space="preserve"> PAGEREF _Toc230677704 \h </w:instrText>
            </w:r>
            <w:r>
              <w:rPr>
                <w:noProof/>
                <w:webHidden/>
              </w:rPr>
            </w:r>
            <w:r>
              <w:rPr>
                <w:noProof/>
                <w:webHidden/>
              </w:rPr>
              <w:fldChar w:fldCharType="separate"/>
            </w:r>
            <w:r>
              <w:rPr>
                <w:noProof/>
                <w:webHidden/>
              </w:rPr>
              <w:t>4</w:t>
            </w:r>
            <w:r>
              <w:rPr>
                <w:noProof/>
                <w:webHidden/>
              </w:rPr>
              <w:fldChar w:fldCharType="end"/>
            </w:r>
          </w:hyperlink>
        </w:p>
        <w:p w14:paraId="7C699021" w14:textId="3F7862FC" w:rsidR="00EA1775" w:rsidRDefault="00EA1775">
          <w:pPr>
            <w:pStyle w:val="TDC2"/>
            <w:tabs>
              <w:tab w:val="left" w:pos="720"/>
            </w:tabs>
            <w:rPr>
              <w:rFonts w:eastAsiaTheme="minorEastAsia"/>
              <w:noProof/>
              <w:kern w:val="2"/>
              <w:sz w:val="24"/>
              <w:szCs w:val="24"/>
              <w:lang w:eastAsia="es-ES"/>
              <w14:ligatures w14:val="standardContextual"/>
            </w:rPr>
          </w:pPr>
          <w:hyperlink w:anchor="_Toc230677705" w:history="1">
            <w:r w:rsidRPr="00FD2CEC">
              <w:rPr>
                <w:rStyle w:val="Hipervnculo"/>
                <w:rFonts w:ascii="Century Gothic" w:hAnsi="Century Gothic" w:cstheme="minorHAnsi"/>
                <w:noProof/>
              </w:rPr>
              <w:t>b.</w:t>
            </w:r>
            <w:r>
              <w:rPr>
                <w:rFonts w:eastAsiaTheme="minorEastAsia"/>
                <w:noProof/>
                <w:kern w:val="2"/>
                <w:sz w:val="24"/>
                <w:szCs w:val="24"/>
                <w:lang w:eastAsia="es-ES"/>
                <w14:ligatures w14:val="standardContextual"/>
              </w:rPr>
              <w:tab/>
            </w:r>
            <w:r w:rsidRPr="00FD2CEC">
              <w:rPr>
                <w:rStyle w:val="Hipervnculo"/>
                <w:rFonts w:ascii="Century Gothic" w:hAnsi="Century Gothic" w:cstheme="minorHAnsi"/>
                <w:noProof/>
              </w:rPr>
              <w:t>Condiciones y medios de prestación del servicio</w:t>
            </w:r>
            <w:r>
              <w:rPr>
                <w:noProof/>
                <w:webHidden/>
              </w:rPr>
              <w:tab/>
            </w:r>
            <w:r>
              <w:rPr>
                <w:noProof/>
                <w:webHidden/>
              </w:rPr>
              <w:fldChar w:fldCharType="begin"/>
            </w:r>
            <w:r>
              <w:rPr>
                <w:noProof/>
                <w:webHidden/>
              </w:rPr>
              <w:instrText xml:space="preserve"> PAGEREF _Toc230677705 \h </w:instrText>
            </w:r>
            <w:r>
              <w:rPr>
                <w:noProof/>
                <w:webHidden/>
              </w:rPr>
            </w:r>
            <w:r>
              <w:rPr>
                <w:noProof/>
                <w:webHidden/>
              </w:rPr>
              <w:fldChar w:fldCharType="separate"/>
            </w:r>
            <w:r>
              <w:rPr>
                <w:noProof/>
                <w:webHidden/>
              </w:rPr>
              <w:t>4</w:t>
            </w:r>
            <w:r>
              <w:rPr>
                <w:noProof/>
                <w:webHidden/>
              </w:rPr>
              <w:fldChar w:fldCharType="end"/>
            </w:r>
          </w:hyperlink>
        </w:p>
        <w:p w14:paraId="78CB2E2E" w14:textId="54A89741" w:rsidR="00EA1775" w:rsidRDefault="00EA1775">
          <w:pPr>
            <w:pStyle w:val="TDC2"/>
            <w:tabs>
              <w:tab w:val="left" w:pos="720"/>
            </w:tabs>
            <w:rPr>
              <w:rFonts w:eastAsiaTheme="minorEastAsia"/>
              <w:noProof/>
              <w:kern w:val="2"/>
              <w:sz w:val="24"/>
              <w:szCs w:val="24"/>
              <w:lang w:eastAsia="es-ES"/>
              <w14:ligatures w14:val="standardContextual"/>
            </w:rPr>
          </w:pPr>
          <w:hyperlink w:anchor="_Toc230677706" w:history="1">
            <w:r w:rsidRPr="00FD2CEC">
              <w:rPr>
                <w:rStyle w:val="Hipervnculo"/>
                <w:rFonts w:ascii="Century Gothic" w:hAnsi="Century Gothic" w:cstheme="minorHAnsi"/>
                <w:noProof/>
              </w:rPr>
              <w:t>c.</w:t>
            </w:r>
            <w:r>
              <w:rPr>
                <w:rFonts w:eastAsiaTheme="minorEastAsia"/>
                <w:noProof/>
                <w:kern w:val="2"/>
                <w:sz w:val="24"/>
                <w:szCs w:val="24"/>
                <w:lang w:eastAsia="es-ES"/>
                <w14:ligatures w14:val="standardContextual"/>
              </w:rPr>
              <w:tab/>
            </w:r>
            <w:r w:rsidRPr="00FD2CEC">
              <w:rPr>
                <w:rStyle w:val="Hipervnculo"/>
                <w:rFonts w:ascii="Century Gothic" w:hAnsi="Century Gothic" w:cstheme="minorHAnsi"/>
                <w:noProof/>
              </w:rPr>
              <w:t>Condiciones para garantizar la calidad ambiental del servicio</w:t>
            </w:r>
            <w:r>
              <w:rPr>
                <w:noProof/>
                <w:webHidden/>
              </w:rPr>
              <w:tab/>
            </w:r>
            <w:r>
              <w:rPr>
                <w:noProof/>
                <w:webHidden/>
              </w:rPr>
              <w:fldChar w:fldCharType="begin"/>
            </w:r>
            <w:r>
              <w:rPr>
                <w:noProof/>
                <w:webHidden/>
              </w:rPr>
              <w:instrText xml:space="preserve"> PAGEREF _Toc230677706 \h </w:instrText>
            </w:r>
            <w:r>
              <w:rPr>
                <w:noProof/>
                <w:webHidden/>
              </w:rPr>
            </w:r>
            <w:r>
              <w:rPr>
                <w:noProof/>
                <w:webHidden/>
              </w:rPr>
              <w:fldChar w:fldCharType="separate"/>
            </w:r>
            <w:r>
              <w:rPr>
                <w:noProof/>
                <w:webHidden/>
              </w:rPr>
              <w:t>6</w:t>
            </w:r>
            <w:r>
              <w:rPr>
                <w:noProof/>
                <w:webHidden/>
              </w:rPr>
              <w:fldChar w:fldCharType="end"/>
            </w:r>
          </w:hyperlink>
        </w:p>
        <w:p w14:paraId="25B7A601" w14:textId="68AA3A60" w:rsidR="00EA1775" w:rsidRDefault="00EA1775">
          <w:pPr>
            <w:pStyle w:val="TDC2"/>
            <w:tabs>
              <w:tab w:val="left" w:pos="720"/>
            </w:tabs>
            <w:rPr>
              <w:rFonts w:eastAsiaTheme="minorEastAsia"/>
              <w:noProof/>
              <w:kern w:val="2"/>
              <w:sz w:val="24"/>
              <w:szCs w:val="24"/>
              <w:lang w:eastAsia="es-ES"/>
              <w14:ligatures w14:val="standardContextual"/>
            </w:rPr>
          </w:pPr>
          <w:hyperlink w:anchor="_Toc230677707" w:history="1">
            <w:r w:rsidRPr="00FD2CEC">
              <w:rPr>
                <w:rStyle w:val="Hipervnculo"/>
                <w:rFonts w:ascii="Century Gothic" w:hAnsi="Century Gothic" w:cstheme="minorHAnsi"/>
                <w:noProof/>
              </w:rPr>
              <w:t>d.</w:t>
            </w:r>
            <w:r>
              <w:rPr>
                <w:rFonts w:eastAsiaTheme="minorEastAsia"/>
                <w:noProof/>
                <w:kern w:val="2"/>
                <w:sz w:val="24"/>
                <w:szCs w:val="24"/>
                <w:lang w:eastAsia="es-ES"/>
                <w14:ligatures w14:val="standardContextual"/>
              </w:rPr>
              <w:tab/>
            </w:r>
            <w:r w:rsidRPr="00FD2CEC">
              <w:rPr>
                <w:rStyle w:val="Hipervnculo"/>
                <w:rFonts w:ascii="Century Gothic" w:hAnsi="Century Gothic" w:cstheme="minorHAnsi"/>
                <w:noProof/>
              </w:rPr>
              <w:t>Condiciones de protección y seguridad portuaria</w:t>
            </w:r>
            <w:r>
              <w:rPr>
                <w:noProof/>
                <w:webHidden/>
              </w:rPr>
              <w:tab/>
            </w:r>
            <w:r>
              <w:rPr>
                <w:noProof/>
                <w:webHidden/>
              </w:rPr>
              <w:fldChar w:fldCharType="begin"/>
            </w:r>
            <w:r>
              <w:rPr>
                <w:noProof/>
                <w:webHidden/>
              </w:rPr>
              <w:instrText xml:space="preserve"> PAGEREF _Toc230677707 \h </w:instrText>
            </w:r>
            <w:r>
              <w:rPr>
                <w:noProof/>
                <w:webHidden/>
              </w:rPr>
            </w:r>
            <w:r>
              <w:rPr>
                <w:noProof/>
                <w:webHidden/>
              </w:rPr>
              <w:fldChar w:fldCharType="separate"/>
            </w:r>
            <w:r>
              <w:rPr>
                <w:noProof/>
                <w:webHidden/>
              </w:rPr>
              <w:t>7</w:t>
            </w:r>
            <w:r>
              <w:rPr>
                <w:noProof/>
                <w:webHidden/>
              </w:rPr>
              <w:fldChar w:fldCharType="end"/>
            </w:r>
          </w:hyperlink>
        </w:p>
        <w:p w14:paraId="1168419E" w14:textId="229EEF6D" w:rsidR="00EA1775" w:rsidRDefault="00EA1775">
          <w:pPr>
            <w:pStyle w:val="TDC2"/>
            <w:tabs>
              <w:tab w:val="left" w:pos="720"/>
            </w:tabs>
            <w:rPr>
              <w:rFonts w:eastAsiaTheme="minorEastAsia"/>
              <w:noProof/>
              <w:kern w:val="2"/>
              <w:sz w:val="24"/>
              <w:szCs w:val="24"/>
              <w:lang w:eastAsia="es-ES"/>
              <w14:ligatures w14:val="standardContextual"/>
            </w:rPr>
          </w:pPr>
          <w:hyperlink w:anchor="_Toc230677708" w:history="1">
            <w:r w:rsidRPr="00FD2CEC">
              <w:rPr>
                <w:rStyle w:val="Hipervnculo"/>
                <w:rFonts w:ascii="Century Gothic" w:hAnsi="Century Gothic" w:cstheme="minorHAnsi"/>
                <w:noProof/>
              </w:rPr>
              <w:t>e.</w:t>
            </w:r>
            <w:r>
              <w:rPr>
                <w:rFonts w:eastAsiaTheme="minorEastAsia"/>
                <w:noProof/>
                <w:kern w:val="2"/>
                <w:sz w:val="24"/>
                <w:szCs w:val="24"/>
                <w:lang w:eastAsia="es-ES"/>
                <w14:ligatures w14:val="standardContextual"/>
              </w:rPr>
              <w:tab/>
            </w:r>
            <w:r w:rsidRPr="00FD2CEC">
              <w:rPr>
                <w:rStyle w:val="Hipervnculo"/>
                <w:rFonts w:ascii="Century Gothic" w:hAnsi="Century Gothic" w:cstheme="minorHAnsi"/>
                <w:noProof/>
              </w:rPr>
              <w:t>Riesgo y ventura. Impuestos y gastos derivados de la prestación del servicio. Responsabilidad. Seguro de responsabilidad civil</w:t>
            </w:r>
            <w:r>
              <w:rPr>
                <w:noProof/>
                <w:webHidden/>
              </w:rPr>
              <w:tab/>
            </w:r>
            <w:r>
              <w:rPr>
                <w:noProof/>
                <w:webHidden/>
              </w:rPr>
              <w:fldChar w:fldCharType="begin"/>
            </w:r>
            <w:r>
              <w:rPr>
                <w:noProof/>
                <w:webHidden/>
              </w:rPr>
              <w:instrText xml:space="preserve"> PAGEREF _Toc230677708 \h </w:instrText>
            </w:r>
            <w:r>
              <w:rPr>
                <w:noProof/>
                <w:webHidden/>
              </w:rPr>
            </w:r>
            <w:r>
              <w:rPr>
                <w:noProof/>
                <w:webHidden/>
              </w:rPr>
              <w:fldChar w:fldCharType="separate"/>
            </w:r>
            <w:r>
              <w:rPr>
                <w:noProof/>
                <w:webHidden/>
              </w:rPr>
              <w:t>7</w:t>
            </w:r>
            <w:r>
              <w:rPr>
                <w:noProof/>
                <w:webHidden/>
              </w:rPr>
              <w:fldChar w:fldCharType="end"/>
            </w:r>
          </w:hyperlink>
        </w:p>
        <w:p w14:paraId="67AA084A" w14:textId="1CF1B6C3" w:rsidR="00EA1775" w:rsidRDefault="00EA1775">
          <w:pPr>
            <w:pStyle w:val="TDC2"/>
            <w:tabs>
              <w:tab w:val="left" w:pos="720"/>
            </w:tabs>
            <w:rPr>
              <w:rFonts w:eastAsiaTheme="minorEastAsia"/>
              <w:noProof/>
              <w:kern w:val="2"/>
              <w:sz w:val="24"/>
              <w:szCs w:val="24"/>
              <w:lang w:eastAsia="es-ES"/>
              <w14:ligatures w14:val="standardContextual"/>
            </w:rPr>
          </w:pPr>
          <w:hyperlink w:anchor="_Toc230677709" w:history="1">
            <w:r w:rsidRPr="00FD2CEC">
              <w:rPr>
                <w:rStyle w:val="Hipervnculo"/>
                <w:rFonts w:ascii="Century Gothic" w:hAnsi="Century Gothic" w:cstheme="minorHAnsi"/>
                <w:noProof/>
              </w:rPr>
              <w:t>f.</w:t>
            </w:r>
            <w:r>
              <w:rPr>
                <w:rFonts w:eastAsiaTheme="minorEastAsia"/>
                <w:noProof/>
                <w:kern w:val="2"/>
                <w:sz w:val="24"/>
                <w:szCs w:val="24"/>
                <w:lang w:eastAsia="es-ES"/>
                <w14:ligatures w14:val="standardContextual"/>
              </w:rPr>
              <w:tab/>
            </w:r>
            <w:r w:rsidRPr="00FD2CEC">
              <w:rPr>
                <w:rStyle w:val="Hipervnculo"/>
                <w:rFonts w:ascii="Century Gothic" w:hAnsi="Century Gothic" w:cstheme="minorHAnsi"/>
                <w:noProof/>
              </w:rPr>
              <w:t>Inicio de la prestación del servicio tras el otorgamiento de autorización</w:t>
            </w:r>
            <w:r>
              <w:rPr>
                <w:noProof/>
                <w:webHidden/>
              </w:rPr>
              <w:tab/>
            </w:r>
            <w:r>
              <w:rPr>
                <w:noProof/>
                <w:webHidden/>
              </w:rPr>
              <w:fldChar w:fldCharType="begin"/>
            </w:r>
            <w:r>
              <w:rPr>
                <w:noProof/>
                <w:webHidden/>
              </w:rPr>
              <w:instrText xml:space="preserve"> PAGEREF _Toc230677709 \h </w:instrText>
            </w:r>
            <w:r>
              <w:rPr>
                <w:noProof/>
                <w:webHidden/>
              </w:rPr>
            </w:r>
            <w:r>
              <w:rPr>
                <w:noProof/>
                <w:webHidden/>
              </w:rPr>
              <w:fldChar w:fldCharType="separate"/>
            </w:r>
            <w:r>
              <w:rPr>
                <w:noProof/>
                <w:webHidden/>
              </w:rPr>
              <w:t>8</w:t>
            </w:r>
            <w:r>
              <w:rPr>
                <w:noProof/>
                <w:webHidden/>
              </w:rPr>
              <w:fldChar w:fldCharType="end"/>
            </w:r>
          </w:hyperlink>
        </w:p>
        <w:p w14:paraId="010CDA13" w14:textId="2CBD71DA" w:rsidR="00EA1775" w:rsidRDefault="00EA1775">
          <w:pPr>
            <w:pStyle w:val="TDC2"/>
            <w:rPr>
              <w:rFonts w:eastAsiaTheme="minorEastAsia"/>
              <w:noProof/>
              <w:kern w:val="2"/>
              <w:sz w:val="24"/>
              <w:szCs w:val="24"/>
              <w:lang w:eastAsia="es-ES"/>
              <w14:ligatures w14:val="standardContextual"/>
            </w:rPr>
          </w:pPr>
          <w:hyperlink w:anchor="_Toc230677710" w:history="1">
            <w:r w:rsidRPr="00FD2CEC">
              <w:rPr>
                <w:rStyle w:val="Hipervnculo"/>
                <w:rFonts w:ascii="Century Gothic" w:hAnsi="Century Gothic" w:cstheme="minorHAnsi"/>
                <w:noProof/>
              </w:rPr>
              <w:t>Condición 7ª: Suministro de información los usuarios del servicio y a la Autoridad Portuaria</w:t>
            </w:r>
            <w:r>
              <w:rPr>
                <w:noProof/>
                <w:webHidden/>
              </w:rPr>
              <w:tab/>
            </w:r>
            <w:r>
              <w:rPr>
                <w:noProof/>
                <w:webHidden/>
              </w:rPr>
              <w:fldChar w:fldCharType="begin"/>
            </w:r>
            <w:r>
              <w:rPr>
                <w:noProof/>
                <w:webHidden/>
              </w:rPr>
              <w:instrText xml:space="preserve"> PAGEREF _Toc230677710 \h </w:instrText>
            </w:r>
            <w:r>
              <w:rPr>
                <w:noProof/>
                <w:webHidden/>
              </w:rPr>
            </w:r>
            <w:r>
              <w:rPr>
                <w:noProof/>
                <w:webHidden/>
              </w:rPr>
              <w:fldChar w:fldCharType="separate"/>
            </w:r>
            <w:r>
              <w:rPr>
                <w:noProof/>
                <w:webHidden/>
              </w:rPr>
              <w:t>8</w:t>
            </w:r>
            <w:r>
              <w:rPr>
                <w:noProof/>
                <w:webHidden/>
              </w:rPr>
              <w:fldChar w:fldCharType="end"/>
            </w:r>
          </w:hyperlink>
        </w:p>
        <w:p w14:paraId="6516C08D" w14:textId="08D0B153" w:rsidR="00EA1775" w:rsidRDefault="00EA1775">
          <w:pPr>
            <w:pStyle w:val="TDC2"/>
            <w:rPr>
              <w:rFonts w:eastAsiaTheme="minorEastAsia"/>
              <w:noProof/>
              <w:kern w:val="2"/>
              <w:sz w:val="24"/>
              <w:szCs w:val="24"/>
              <w:lang w:eastAsia="es-ES"/>
              <w14:ligatures w14:val="standardContextual"/>
            </w:rPr>
          </w:pPr>
          <w:hyperlink w:anchor="_Toc230677711" w:history="1">
            <w:r w:rsidRPr="00FD2CEC">
              <w:rPr>
                <w:rStyle w:val="Hipervnculo"/>
                <w:rFonts w:ascii="Century Gothic" w:hAnsi="Century Gothic" w:cstheme="minorHAnsi"/>
                <w:noProof/>
              </w:rPr>
              <w:t>Condición 8ª: Garantías</w:t>
            </w:r>
            <w:r>
              <w:rPr>
                <w:noProof/>
                <w:webHidden/>
              </w:rPr>
              <w:tab/>
            </w:r>
            <w:r>
              <w:rPr>
                <w:noProof/>
                <w:webHidden/>
              </w:rPr>
              <w:fldChar w:fldCharType="begin"/>
            </w:r>
            <w:r>
              <w:rPr>
                <w:noProof/>
                <w:webHidden/>
              </w:rPr>
              <w:instrText xml:space="preserve"> PAGEREF _Toc230677711 \h </w:instrText>
            </w:r>
            <w:r>
              <w:rPr>
                <w:noProof/>
                <w:webHidden/>
              </w:rPr>
            </w:r>
            <w:r>
              <w:rPr>
                <w:noProof/>
                <w:webHidden/>
              </w:rPr>
              <w:fldChar w:fldCharType="separate"/>
            </w:r>
            <w:r>
              <w:rPr>
                <w:noProof/>
                <w:webHidden/>
              </w:rPr>
              <w:t>9</w:t>
            </w:r>
            <w:r>
              <w:rPr>
                <w:noProof/>
                <w:webHidden/>
              </w:rPr>
              <w:fldChar w:fldCharType="end"/>
            </w:r>
          </w:hyperlink>
        </w:p>
        <w:p w14:paraId="34E5BD29" w14:textId="3BE9A332" w:rsidR="00EA1775" w:rsidRDefault="00EA1775">
          <w:pPr>
            <w:pStyle w:val="TDC2"/>
            <w:rPr>
              <w:rFonts w:eastAsiaTheme="minorEastAsia"/>
              <w:noProof/>
              <w:kern w:val="2"/>
              <w:sz w:val="24"/>
              <w:szCs w:val="24"/>
              <w:lang w:eastAsia="es-ES"/>
              <w14:ligatures w14:val="standardContextual"/>
            </w:rPr>
          </w:pPr>
          <w:hyperlink w:anchor="_Toc230677712" w:history="1">
            <w:r w:rsidRPr="00FD2CEC">
              <w:rPr>
                <w:rStyle w:val="Hipervnculo"/>
                <w:rFonts w:ascii="Century Gothic" w:hAnsi="Century Gothic" w:cstheme="minorHAnsi"/>
                <w:noProof/>
              </w:rPr>
              <w:t>Condición 9ª: Tasas portuarias</w:t>
            </w:r>
            <w:r>
              <w:rPr>
                <w:noProof/>
                <w:webHidden/>
              </w:rPr>
              <w:tab/>
            </w:r>
            <w:r>
              <w:rPr>
                <w:noProof/>
                <w:webHidden/>
              </w:rPr>
              <w:fldChar w:fldCharType="begin"/>
            </w:r>
            <w:r>
              <w:rPr>
                <w:noProof/>
                <w:webHidden/>
              </w:rPr>
              <w:instrText xml:space="preserve"> PAGEREF _Toc230677712 \h </w:instrText>
            </w:r>
            <w:r>
              <w:rPr>
                <w:noProof/>
                <w:webHidden/>
              </w:rPr>
            </w:r>
            <w:r>
              <w:rPr>
                <w:noProof/>
                <w:webHidden/>
              </w:rPr>
              <w:fldChar w:fldCharType="separate"/>
            </w:r>
            <w:r>
              <w:rPr>
                <w:noProof/>
                <w:webHidden/>
              </w:rPr>
              <w:t>9</w:t>
            </w:r>
            <w:r>
              <w:rPr>
                <w:noProof/>
                <w:webHidden/>
              </w:rPr>
              <w:fldChar w:fldCharType="end"/>
            </w:r>
          </w:hyperlink>
        </w:p>
        <w:p w14:paraId="6C96AE53" w14:textId="1A68B520" w:rsidR="00EA1775" w:rsidRDefault="00EA1775">
          <w:pPr>
            <w:pStyle w:val="TDC2"/>
            <w:rPr>
              <w:rFonts w:eastAsiaTheme="minorEastAsia"/>
              <w:noProof/>
              <w:kern w:val="2"/>
              <w:sz w:val="24"/>
              <w:szCs w:val="24"/>
              <w:lang w:eastAsia="es-ES"/>
              <w14:ligatures w14:val="standardContextual"/>
            </w:rPr>
          </w:pPr>
          <w:hyperlink w:anchor="_Toc230677713" w:history="1">
            <w:r w:rsidRPr="00FD2CEC">
              <w:rPr>
                <w:rStyle w:val="Hipervnculo"/>
                <w:rFonts w:ascii="Century Gothic" w:hAnsi="Century Gothic" w:cstheme="minorHAnsi"/>
                <w:noProof/>
              </w:rPr>
              <w:t>Condición 10ª: Reclamaciones y recursos</w:t>
            </w:r>
            <w:r>
              <w:rPr>
                <w:noProof/>
                <w:webHidden/>
              </w:rPr>
              <w:tab/>
            </w:r>
            <w:r>
              <w:rPr>
                <w:noProof/>
                <w:webHidden/>
              </w:rPr>
              <w:fldChar w:fldCharType="begin"/>
            </w:r>
            <w:r>
              <w:rPr>
                <w:noProof/>
                <w:webHidden/>
              </w:rPr>
              <w:instrText xml:space="preserve"> PAGEREF _Toc230677713 \h </w:instrText>
            </w:r>
            <w:r>
              <w:rPr>
                <w:noProof/>
                <w:webHidden/>
              </w:rPr>
            </w:r>
            <w:r>
              <w:rPr>
                <w:noProof/>
                <w:webHidden/>
              </w:rPr>
              <w:fldChar w:fldCharType="separate"/>
            </w:r>
            <w:r>
              <w:rPr>
                <w:noProof/>
                <w:webHidden/>
              </w:rPr>
              <w:t>10</w:t>
            </w:r>
            <w:r>
              <w:rPr>
                <w:noProof/>
                <w:webHidden/>
              </w:rPr>
              <w:fldChar w:fldCharType="end"/>
            </w:r>
          </w:hyperlink>
        </w:p>
        <w:p w14:paraId="6BAA9D96" w14:textId="20395ECE" w:rsidR="00EA1775" w:rsidRDefault="00EA1775">
          <w:pPr>
            <w:pStyle w:val="TDC1"/>
            <w:tabs>
              <w:tab w:val="right" w:leader="dot" w:pos="8494"/>
            </w:tabs>
            <w:rPr>
              <w:rFonts w:eastAsiaTheme="minorEastAsia"/>
              <w:noProof/>
              <w:kern w:val="2"/>
              <w:sz w:val="24"/>
              <w:szCs w:val="24"/>
              <w:lang w:eastAsia="es-ES"/>
              <w14:ligatures w14:val="standardContextual"/>
            </w:rPr>
          </w:pPr>
          <w:hyperlink w:anchor="_Toc230677714" w:history="1">
            <w:r w:rsidRPr="00FD2CEC">
              <w:rPr>
                <w:rStyle w:val="Hipervnculo"/>
                <w:rFonts w:ascii="Century Gothic" w:hAnsi="Century Gothic" w:cstheme="minorHAnsi"/>
                <w:noProof/>
              </w:rPr>
              <w:t>ANEXO I MODALIDAD STS: CONDICIONES TÉCNICAS PARA LA PRESTACIÓN DEL SERVICIO DE SUMINISTRO DE GNL, BioGNL y e-GNL A BUQUES COMO COMBUSTIBLE</w:t>
            </w:r>
            <w:r>
              <w:rPr>
                <w:noProof/>
                <w:webHidden/>
              </w:rPr>
              <w:tab/>
            </w:r>
            <w:r>
              <w:rPr>
                <w:noProof/>
                <w:webHidden/>
              </w:rPr>
              <w:fldChar w:fldCharType="begin"/>
            </w:r>
            <w:r>
              <w:rPr>
                <w:noProof/>
                <w:webHidden/>
              </w:rPr>
              <w:instrText xml:space="preserve"> PAGEREF _Toc230677714 \h </w:instrText>
            </w:r>
            <w:r>
              <w:rPr>
                <w:noProof/>
                <w:webHidden/>
              </w:rPr>
            </w:r>
            <w:r>
              <w:rPr>
                <w:noProof/>
                <w:webHidden/>
              </w:rPr>
              <w:fldChar w:fldCharType="separate"/>
            </w:r>
            <w:r>
              <w:rPr>
                <w:noProof/>
                <w:webHidden/>
              </w:rPr>
              <w:t>11</w:t>
            </w:r>
            <w:r>
              <w:rPr>
                <w:noProof/>
                <w:webHidden/>
              </w:rPr>
              <w:fldChar w:fldCharType="end"/>
            </w:r>
          </w:hyperlink>
        </w:p>
        <w:p w14:paraId="0B6C7204" w14:textId="3F98B23A" w:rsidR="00EA1775" w:rsidRDefault="00EA1775">
          <w:pPr>
            <w:pStyle w:val="TDC1"/>
            <w:tabs>
              <w:tab w:val="right" w:leader="dot" w:pos="8494"/>
            </w:tabs>
            <w:rPr>
              <w:rFonts w:eastAsiaTheme="minorEastAsia"/>
              <w:noProof/>
              <w:kern w:val="2"/>
              <w:sz w:val="24"/>
              <w:szCs w:val="24"/>
              <w:lang w:eastAsia="es-ES"/>
              <w14:ligatures w14:val="standardContextual"/>
            </w:rPr>
          </w:pPr>
          <w:hyperlink w:anchor="_Toc230677715" w:history="1">
            <w:r w:rsidRPr="00FD2CEC">
              <w:rPr>
                <w:rStyle w:val="Hipervnculo"/>
                <w:rFonts w:ascii="Century Gothic" w:hAnsi="Century Gothic" w:cstheme="minorHAnsi"/>
                <w:noProof/>
              </w:rPr>
              <w:t>ANEXO I MODALIDAD TTS: CONDICIONES TÉCNICAS PARA LA PRESTACIÓN DEL SERVICIO DE SUMINISTRO DE GNL, BioGNL y e-GNL A BUQUES COMO COMBUSTIBLE</w:t>
            </w:r>
            <w:r>
              <w:rPr>
                <w:noProof/>
                <w:webHidden/>
              </w:rPr>
              <w:tab/>
            </w:r>
            <w:r>
              <w:rPr>
                <w:noProof/>
                <w:webHidden/>
              </w:rPr>
              <w:fldChar w:fldCharType="begin"/>
            </w:r>
            <w:r>
              <w:rPr>
                <w:noProof/>
                <w:webHidden/>
              </w:rPr>
              <w:instrText xml:space="preserve"> PAGEREF _Toc230677715 \h </w:instrText>
            </w:r>
            <w:r>
              <w:rPr>
                <w:noProof/>
                <w:webHidden/>
              </w:rPr>
            </w:r>
            <w:r>
              <w:rPr>
                <w:noProof/>
                <w:webHidden/>
              </w:rPr>
              <w:fldChar w:fldCharType="separate"/>
            </w:r>
            <w:r>
              <w:rPr>
                <w:noProof/>
                <w:webHidden/>
              </w:rPr>
              <w:t>18</w:t>
            </w:r>
            <w:r>
              <w:rPr>
                <w:noProof/>
                <w:webHidden/>
              </w:rPr>
              <w:fldChar w:fldCharType="end"/>
            </w:r>
          </w:hyperlink>
        </w:p>
        <w:p w14:paraId="5A5EB3EE" w14:textId="1EF4877D" w:rsidR="00EA1775" w:rsidRDefault="00EA1775">
          <w:pPr>
            <w:pStyle w:val="TDC1"/>
            <w:tabs>
              <w:tab w:val="right" w:leader="dot" w:pos="8494"/>
            </w:tabs>
            <w:rPr>
              <w:rFonts w:eastAsiaTheme="minorEastAsia"/>
              <w:noProof/>
              <w:kern w:val="2"/>
              <w:sz w:val="24"/>
              <w:szCs w:val="24"/>
              <w:lang w:eastAsia="es-ES"/>
              <w14:ligatures w14:val="standardContextual"/>
            </w:rPr>
          </w:pPr>
          <w:hyperlink w:anchor="_Toc230677716" w:history="1">
            <w:r w:rsidRPr="00FD2CEC">
              <w:rPr>
                <w:rStyle w:val="Hipervnculo"/>
                <w:rFonts w:ascii="Century Gothic" w:eastAsia="Times New Roman" w:hAnsi="Century Gothic" w:cs="Calibri"/>
                <w:noProof/>
              </w:rPr>
              <w:t xml:space="preserve">ANEXO I MODALIDAD PTS: CONDICIONES TÉCNICAS PARA LA PRESTACIÓN DEL SERVICIO DE SUMINISTRO DE </w:t>
            </w:r>
            <w:r w:rsidRPr="00FD2CEC">
              <w:rPr>
                <w:rStyle w:val="Hipervnculo"/>
                <w:rFonts w:ascii="Century Gothic" w:hAnsi="Century Gothic" w:cstheme="minorHAnsi"/>
                <w:noProof/>
              </w:rPr>
              <w:t>GNL, BioGNL y e-GNL</w:t>
            </w:r>
            <w:r w:rsidRPr="00FD2CEC">
              <w:rPr>
                <w:rStyle w:val="Hipervnculo"/>
                <w:rFonts w:ascii="Century Gothic" w:eastAsia="Times New Roman" w:hAnsi="Century Gothic" w:cs="Calibri"/>
                <w:noProof/>
              </w:rPr>
              <w:t xml:space="preserve"> A BUQUES COMO COMBUSTIBLE</w:t>
            </w:r>
            <w:r>
              <w:rPr>
                <w:noProof/>
                <w:webHidden/>
              </w:rPr>
              <w:tab/>
            </w:r>
            <w:r>
              <w:rPr>
                <w:noProof/>
                <w:webHidden/>
              </w:rPr>
              <w:fldChar w:fldCharType="begin"/>
            </w:r>
            <w:r>
              <w:rPr>
                <w:noProof/>
                <w:webHidden/>
              </w:rPr>
              <w:instrText xml:space="preserve"> PAGEREF _Toc230677716 \h </w:instrText>
            </w:r>
            <w:r>
              <w:rPr>
                <w:noProof/>
                <w:webHidden/>
              </w:rPr>
            </w:r>
            <w:r>
              <w:rPr>
                <w:noProof/>
                <w:webHidden/>
              </w:rPr>
              <w:fldChar w:fldCharType="separate"/>
            </w:r>
            <w:r>
              <w:rPr>
                <w:noProof/>
                <w:webHidden/>
              </w:rPr>
              <w:t>30</w:t>
            </w:r>
            <w:r>
              <w:rPr>
                <w:noProof/>
                <w:webHidden/>
              </w:rPr>
              <w:fldChar w:fldCharType="end"/>
            </w:r>
          </w:hyperlink>
        </w:p>
        <w:p w14:paraId="7E299F4D" w14:textId="30AD7315" w:rsidR="00EA1775" w:rsidRDefault="00EA1775">
          <w:pPr>
            <w:pStyle w:val="TDC1"/>
            <w:tabs>
              <w:tab w:val="right" w:leader="dot" w:pos="8494"/>
            </w:tabs>
            <w:rPr>
              <w:rFonts w:eastAsiaTheme="minorEastAsia"/>
              <w:noProof/>
              <w:kern w:val="2"/>
              <w:sz w:val="24"/>
              <w:szCs w:val="24"/>
              <w:lang w:eastAsia="es-ES"/>
              <w14:ligatures w14:val="standardContextual"/>
            </w:rPr>
          </w:pPr>
          <w:hyperlink w:anchor="_Toc230677717" w:history="1">
            <w:r w:rsidRPr="00FD2CEC">
              <w:rPr>
                <w:rStyle w:val="Hipervnculo"/>
                <w:rFonts w:ascii="Century Gothic" w:eastAsia="Times New Roman" w:hAnsi="Century Gothic" w:cs="Calibri"/>
                <w:bCs/>
                <w:noProof/>
              </w:rPr>
              <w:t>ANEXO II MODALIDAD STS: DOCUMENTACIÓN A PRESENTAR</w:t>
            </w:r>
            <w:r>
              <w:rPr>
                <w:noProof/>
                <w:webHidden/>
              </w:rPr>
              <w:tab/>
            </w:r>
            <w:r>
              <w:rPr>
                <w:noProof/>
                <w:webHidden/>
              </w:rPr>
              <w:fldChar w:fldCharType="begin"/>
            </w:r>
            <w:r>
              <w:rPr>
                <w:noProof/>
                <w:webHidden/>
              </w:rPr>
              <w:instrText xml:space="preserve"> PAGEREF _Toc230677717 \h </w:instrText>
            </w:r>
            <w:r>
              <w:rPr>
                <w:noProof/>
                <w:webHidden/>
              </w:rPr>
            </w:r>
            <w:r>
              <w:rPr>
                <w:noProof/>
                <w:webHidden/>
              </w:rPr>
              <w:fldChar w:fldCharType="separate"/>
            </w:r>
            <w:r>
              <w:rPr>
                <w:noProof/>
                <w:webHidden/>
              </w:rPr>
              <w:t>48</w:t>
            </w:r>
            <w:r>
              <w:rPr>
                <w:noProof/>
                <w:webHidden/>
              </w:rPr>
              <w:fldChar w:fldCharType="end"/>
            </w:r>
          </w:hyperlink>
        </w:p>
        <w:p w14:paraId="1DD1581E" w14:textId="62EA3ABF" w:rsidR="00EA1775" w:rsidRDefault="00EA1775">
          <w:pPr>
            <w:pStyle w:val="TDC1"/>
            <w:tabs>
              <w:tab w:val="right" w:leader="dot" w:pos="8494"/>
            </w:tabs>
            <w:rPr>
              <w:rFonts w:eastAsiaTheme="minorEastAsia"/>
              <w:noProof/>
              <w:kern w:val="2"/>
              <w:sz w:val="24"/>
              <w:szCs w:val="24"/>
              <w:lang w:eastAsia="es-ES"/>
              <w14:ligatures w14:val="standardContextual"/>
            </w:rPr>
          </w:pPr>
          <w:hyperlink w:anchor="_Toc230677718" w:history="1">
            <w:r w:rsidRPr="00FD2CEC">
              <w:rPr>
                <w:rStyle w:val="Hipervnculo"/>
                <w:rFonts w:ascii="Century Gothic" w:hAnsi="Century Gothic" w:cstheme="minorHAnsi"/>
                <w:noProof/>
              </w:rPr>
              <w:t>ANEXO II MODALIDAD TTS: DOCUMENTACIÓN A PRESENTAR</w:t>
            </w:r>
            <w:r>
              <w:rPr>
                <w:noProof/>
                <w:webHidden/>
              </w:rPr>
              <w:tab/>
            </w:r>
            <w:r>
              <w:rPr>
                <w:noProof/>
                <w:webHidden/>
              </w:rPr>
              <w:fldChar w:fldCharType="begin"/>
            </w:r>
            <w:r>
              <w:rPr>
                <w:noProof/>
                <w:webHidden/>
              </w:rPr>
              <w:instrText xml:space="preserve"> PAGEREF _Toc230677718 \h </w:instrText>
            </w:r>
            <w:r>
              <w:rPr>
                <w:noProof/>
                <w:webHidden/>
              </w:rPr>
            </w:r>
            <w:r>
              <w:rPr>
                <w:noProof/>
                <w:webHidden/>
              </w:rPr>
              <w:fldChar w:fldCharType="separate"/>
            </w:r>
            <w:r>
              <w:rPr>
                <w:noProof/>
                <w:webHidden/>
              </w:rPr>
              <w:t>57</w:t>
            </w:r>
            <w:r>
              <w:rPr>
                <w:noProof/>
                <w:webHidden/>
              </w:rPr>
              <w:fldChar w:fldCharType="end"/>
            </w:r>
          </w:hyperlink>
        </w:p>
        <w:p w14:paraId="032E3638" w14:textId="010C1CC2" w:rsidR="00EA1775" w:rsidRDefault="00EA1775">
          <w:pPr>
            <w:pStyle w:val="TDC1"/>
            <w:tabs>
              <w:tab w:val="right" w:leader="dot" w:pos="8494"/>
            </w:tabs>
            <w:rPr>
              <w:rFonts w:eastAsiaTheme="minorEastAsia"/>
              <w:noProof/>
              <w:kern w:val="2"/>
              <w:sz w:val="24"/>
              <w:szCs w:val="24"/>
              <w:lang w:eastAsia="es-ES"/>
              <w14:ligatures w14:val="standardContextual"/>
            </w:rPr>
          </w:pPr>
          <w:hyperlink w:anchor="_Toc230677719" w:history="1">
            <w:r w:rsidRPr="00FD2CEC">
              <w:rPr>
                <w:rStyle w:val="Hipervnculo"/>
                <w:rFonts w:ascii="Century Gothic" w:eastAsia="Times New Roman" w:hAnsi="Century Gothic" w:cs="Calibri"/>
                <w:bCs/>
                <w:noProof/>
              </w:rPr>
              <w:t>ANEXO II MODALIDAD PTS: DOCUMENTACIÓN A PRESENTAR</w:t>
            </w:r>
            <w:r>
              <w:rPr>
                <w:noProof/>
                <w:webHidden/>
              </w:rPr>
              <w:tab/>
            </w:r>
            <w:r>
              <w:rPr>
                <w:noProof/>
                <w:webHidden/>
              </w:rPr>
              <w:fldChar w:fldCharType="begin"/>
            </w:r>
            <w:r>
              <w:rPr>
                <w:noProof/>
                <w:webHidden/>
              </w:rPr>
              <w:instrText xml:space="preserve"> PAGEREF _Toc230677719 \h </w:instrText>
            </w:r>
            <w:r>
              <w:rPr>
                <w:noProof/>
                <w:webHidden/>
              </w:rPr>
            </w:r>
            <w:r>
              <w:rPr>
                <w:noProof/>
                <w:webHidden/>
              </w:rPr>
              <w:fldChar w:fldCharType="separate"/>
            </w:r>
            <w:r>
              <w:rPr>
                <w:noProof/>
                <w:webHidden/>
              </w:rPr>
              <w:t>61</w:t>
            </w:r>
            <w:r>
              <w:rPr>
                <w:noProof/>
                <w:webHidden/>
              </w:rPr>
              <w:fldChar w:fldCharType="end"/>
            </w:r>
          </w:hyperlink>
        </w:p>
        <w:p w14:paraId="294B2082" w14:textId="1EE2A21E" w:rsidR="00212178" w:rsidRDefault="00212178">
          <w:r>
            <w:rPr>
              <w:b/>
              <w:bCs/>
            </w:rPr>
            <w:fldChar w:fldCharType="end"/>
          </w:r>
        </w:p>
      </w:sdtContent>
    </w:sdt>
    <w:p w14:paraId="791EA771" w14:textId="62EABC84" w:rsidR="00162FDB" w:rsidRPr="00F062F1" w:rsidRDefault="00162FDB">
      <w:pPr>
        <w:rPr>
          <w:rFonts w:ascii="Century Gothic" w:hAnsi="Century Gothic"/>
        </w:rPr>
      </w:pPr>
    </w:p>
    <w:p w14:paraId="03905899" w14:textId="358B2589" w:rsidR="00162FDB" w:rsidRPr="00F062F1" w:rsidRDefault="00162FDB">
      <w:pPr>
        <w:rPr>
          <w:rFonts w:ascii="Century Gothic" w:hAnsi="Century Gothic"/>
        </w:rPr>
      </w:pPr>
      <w:r w:rsidRPr="00F062F1">
        <w:rPr>
          <w:rFonts w:ascii="Century Gothic" w:hAnsi="Century Gothic"/>
        </w:rPr>
        <w:br w:type="page"/>
      </w:r>
    </w:p>
    <w:p w14:paraId="362BB96F" w14:textId="77777777" w:rsidR="00E64BD6" w:rsidRPr="00F062F1" w:rsidRDefault="00E64BD6" w:rsidP="000C21A6">
      <w:pPr>
        <w:rPr>
          <w:rFonts w:ascii="Century Gothic" w:hAnsi="Century Gothic"/>
        </w:rPr>
        <w:sectPr w:rsidR="00E64BD6" w:rsidRPr="00F062F1" w:rsidSect="000574F2">
          <w:headerReference w:type="default" r:id="rId12"/>
          <w:footerReference w:type="default" r:id="rId13"/>
          <w:pgSz w:w="11906" w:h="16838"/>
          <w:pgMar w:top="1417" w:right="1701" w:bottom="1417" w:left="1701" w:header="708" w:footer="708" w:gutter="0"/>
          <w:pgNumType w:fmt="upperRoman"/>
          <w:cols w:space="708"/>
          <w:docGrid w:linePitch="360"/>
        </w:sectPr>
      </w:pPr>
    </w:p>
    <w:p w14:paraId="5D9DF02E" w14:textId="366B7781" w:rsidR="00F51BB2" w:rsidRPr="00F062F1" w:rsidRDefault="00E96ED3" w:rsidP="003C5F98">
      <w:pPr>
        <w:pStyle w:val="Ttulo2"/>
        <w:jc w:val="both"/>
        <w:rPr>
          <w:rFonts w:ascii="Century Gothic" w:hAnsi="Century Gothic" w:cstheme="minorHAnsi"/>
        </w:rPr>
      </w:pPr>
      <w:bookmarkStart w:id="1" w:name="_Toc230677698"/>
      <w:r>
        <w:rPr>
          <w:rFonts w:ascii="Century Gothic" w:hAnsi="Century Gothic" w:cstheme="minorHAnsi"/>
        </w:rPr>
        <w:lastRenderedPageBreak/>
        <w:t>Condición</w:t>
      </w:r>
      <w:r w:rsidR="001B2E85" w:rsidRPr="00F062F1">
        <w:rPr>
          <w:rFonts w:ascii="Century Gothic" w:hAnsi="Century Gothic" w:cstheme="minorHAnsi"/>
        </w:rPr>
        <w:t xml:space="preserve"> </w:t>
      </w:r>
      <w:r w:rsidR="00DD01EC" w:rsidRPr="00F062F1">
        <w:rPr>
          <w:rFonts w:ascii="Century Gothic" w:hAnsi="Century Gothic" w:cstheme="minorHAnsi"/>
        </w:rPr>
        <w:fldChar w:fldCharType="begin"/>
      </w:r>
      <w:r w:rsidR="001B2E85" w:rsidRPr="00F062F1">
        <w:rPr>
          <w:rFonts w:ascii="Century Gothic" w:hAnsi="Century Gothic" w:cstheme="minorHAnsi"/>
        </w:rPr>
        <w:instrText xml:space="preserve"> SEQ Prescripción \* ARABIC </w:instrText>
      </w:r>
      <w:r w:rsidR="00DD01EC" w:rsidRPr="00F062F1">
        <w:rPr>
          <w:rFonts w:ascii="Century Gothic" w:hAnsi="Century Gothic" w:cstheme="minorHAnsi"/>
        </w:rPr>
        <w:fldChar w:fldCharType="separate"/>
      </w:r>
      <w:r w:rsidR="00CD2474">
        <w:rPr>
          <w:rFonts w:ascii="Century Gothic" w:hAnsi="Century Gothic" w:cstheme="minorHAnsi"/>
          <w:noProof/>
        </w:rPr>
        <w:t>1</w:t>
      </w:r>
      <w:r w:rsidR="00DD01EC" w:rsidRPr="00F062F1">
        <w:rPr>
          <w:rFonts w:ascii="Century Gothic" w:hAnsi="Century Gothic" w:cstheme="minorHAnsi"/>
        </w:rPr>
        <w:fldChar w:fldCharType="end"/>
      </w:r>
      <w:r w:rsidR="00713D13" w:rsidRPr="00F062F1">
        <w:rPr>
          <w:rFonts w:ascii="Century Gothic" w:hAnsi="Century Gothic" w:cstheme="minorHAnsi"/>
        </w:rPr>
        <w:t>ª</w:t>
      </w:r>
      <w:r w:rsidR="00565EF0" w:rsidRPr="00F062F1">
        <w:rPr>
          <w:rFonts w:ascii="Century Gothic" w:hAnsi="Century Gothic" w:cstheme="minorHAnsi"/>
        </w:rPr>
        <w:t xml:space="preserve">: </w:t>
      </w:r>
      <w:r w:rsidR="00F51BB2" w:rsidRPr="00F062F1">
        <w:rPr>
          <w:rFonts w:ascii="Century Gothic" w:hAnsi="Century Gothic" w:cstheme="minorHAnsi"/>
        </w:rPr>
        <w:t>Objeto</w:t>
      </w:r>
      <w:r w:rsidR="00AD50C6" w:rsidRPr="00F062F1">
        <w:rPr>
          <w:rFonts w:ascii="Century Gothic" w:hAnsi="Century Gothic" w:cstheme="minorHAnsi"/>
        </w:rPr>
        <w:t xml:space="preserve"> </w:t>
      </w:r>
      <w:r w:rsidR="00CF4CA6" w:rsidRPr="00F062F1">
        <w:rPr>
          <w:rFonts w:ascii="Century Gothic" w:hAnsi="Century Gothic" w:cstheme="minorHAnsi"/>
        </w:rPr>
        <w:t>y fundamento legal</w:t>
      </w:r>
      <w:bookmarkEnd w:id="1"/>
    </w:p>
    <w:p w14:paraId="4CFFD1C6" w14:textId="77777777" w:rsidR="009E53B3" w:rsidRDefault="009E53B3" w:rsidP="00E42164">
      <w:pPr>
        <w:jc w:val="both"/>
        <w:rPr>
          <w:rFonts w:ascii="Century Gothic" w:hAnsi="Century Gothic"/>
        </w:rPr>
      </w:pPr>
    </w:p>
    <w:p w14:paraId="72FDA4C9" w14:textId="4A09DAA4" w:rsidR="00507D27" w:rsidRDefault="00AE2ED1" w:rsidP="001E2C7D">
      <w:pPr>
        <w:spacing w:line="276" w:lineRule="auto"/>
        <w:jc w:val="both"/>
        <w:rPr>
          <w:rFonts w:ascii="Century Gothic" w:hAnsi="Century Gothic"/>
        </w:rPr>
      </w:pPr>
      <w:r w:rsidRPr="00F062F1">
        <w:rPr>
          <w:rFonts w:ascii="Century Gothic" w:hAnsi="Century Gothic"/>
        </w:rPr>
        <w:t xml:space="preserve">El objeto del presente Pliego de </w:t>
      </w:r>
      <w:r w:rsidR="00BF5648">
        <w:rPr>
          <w:rFonts w:ascii="Century Gothic" w:hAnsi="Century Gothic"/>
        </w:rPr>
        <w:t>Condiciones</w:t>
      </w:r>
      <w:r w:rsidRPr="00F062F1">
        <w:rPr>
          <w:rFonts w:ascii="Century Gothic" w:hAnsi="Century Gothic"/>
        </w:rPr>
        <w:t xml:space="preserve"> Partic</w:t>
      </w:r>
      <w:r w:rsidR="00584B0A">
        <w:rPr>
          <w:rFonts w:ascii="Century Gothic" w:hAnsi="Century Gothic"/>
        </w:rPr>
        <w:t>u</w:t>
      </w:r>
      <w:r w:rsidRPr="00F062F1">
        <w:rPr>
          <w:rFonts w:ascii="Century Gothic" w:hAnsi="Century Gothic"/>
        </w:rPr>
        <w:t>l</w:t>
      </w:r>
      <w:r w:rsidR="00DB1EDC">
        <w:rPr>
          <w:rFonts w:ascii="Century Gothic" w:hAnsi="Century Gothic"/>
        </w:rPr>
        <w:t>a</w:t>
      </w:r>
      <w:r w:rsidRPr="00F062F1">
        <w:rPr>
          <w:rFonts w:ascii="Century Gothic" w:hAnsi="Century Gothic"/>
        </w:rPr>
        <w:t>res (en adelante, P</w:t>
      </w:r>
      <w:r w:rsidR="00BF5648">
        <w:rPr>
          <w:rFonts w:ascii="Century Gothic" w:hAnsi="Century Gothic"/>
        </w:rPr>
        <w:t>CP</w:t>
      </w:r>
      <w:r w:rsidRPr="00F062F1">
        <w:rPr>
          <w:rFonts w:ascii="Century Gothic" w:hAnsi="Century Gothic"/>
        </w:rPr>
        <w:t>) es la regulación de</w:t>
      </w:r>
      <w:r w:rsidR="00BE7E80">
        <w:rPr>
          <w:rFonts w:ascii="Century Gothic" w:hAnsi="Century Gothic"/>
        </w:rPr>
        <w:t>:</w:t>
      </w:r>
      <w:r w:rsidRPr="00F062F1">
        <w:rPr>
          <w:rFonts w:ascii="Century Gothic" w:hAnsi="Century Gothic"/>
        </w:rPr>
        <w:t xml:space="preserve"> </w:t>
      </w:r>
    </w:p>
    <w:p w14:paraId="59802C7D" w14:textId="2CDF1630" w:rsidR="00CD4B88" w:rsidRPr="00A416DA" w:rsidRDefault="00BE7E80" w:rsidP="006965D8">
      <w:pPr>
        <w:pStyle w:val="Prrafodelista"/>
        <w:numPr>
          <w:ilvl w:val="0"/>
          <w:numId w:val="17"/>
        </w:numPr>
        <w:spacing w:line="276" w:lineRule="auto"/>
        <w:jc w:val="both"/>
        <w:rPr>
          <w:rFonts w:ascii="Century Gothic" w:hAnsi="Century Gothic"/>
        </w:rPr>
      </w:pPr>
      <w:r>
        <w:rPr>
          <w:rFonts w:ascii="Century Gothic" w:hAnsi="Century Gothic"/>
          <w:b/>
          <w:bCs/>
        </w:rPr>
        <w:t>Otorgamiento de a</w:t>
      </w:r>
      <w:r w:rsidR="00BF5648" w:rsidRPr="006F0065">
        <w:rPr>
          <w:rFonts w:ascii="Century Gothic" w:hAnsi="Century Gothic"/>
          <w:b/>
          <w:bCs/>
        </w:rPr>
        <w:t>utorizaci</w:t>
      </w:r>
      <w:r w:rsidR="00682FBD">
        <w:rPr>
          <w:rFonts w:ascii="Century Gothic" w:hAnsi="Century Gothic"/>
          <w:b/>
          <w:bCs/>
        </w:rPr>
        <w:t>ón (título habilitante)</w:t>
      </w:r>
      <w:r w:rsidR="00507D27" w:rsidRPr="006F0065">
        <w:rPr>
          <w:rFonts w:ascii="Century Gothic" w:hAnsi="Century Gothic"/>
          <w:b/>
          <w:bCs/>
        </w:rPr>
        <w:t xml:space="preserve"> de servicio comercial de suministro de</w:t>
      </w:r>
      <w:r w:rsidR="009B1977" w:rsidRPr="006F0065">
        <w:rPr>
          <w:rFonts w:ascii="Century Gothic" w:hAnsi="Century Gothic"/>
          <w:b/>
          <w:bCs/>
        </w:rPr>
        <w:t xml:space="preserve"> gas natural licuado</w:t>
      </w:r>
      <w:r w:rsidR="009B1977" w:rsidRPr="00A416DA">
        <w:rPr>
          <w:rFonts w:ascii="Century Gothic" w:hAnsi="Century Gothic"/>
        </w:rPr>
        <w:t xml:space="preserve"> (en adelante, GNL) </w:t>
      </w:r>
      <w:r w:rsidR="00507D27" w:rsidRPr="00CD4B88">
        <w:rPr>
          <w:rFonts w:ascii="Century Gothic" w:hAnsi="Century Gothic"/>
        </w:rPr>
        <w:t>a buques</w:t>
      </w:r>
      <w:r w:rsidR="00CD4B88">
        <w:rPr>
          <w:rFonts w:ascii="Century Gothic" w:hAnsi="Century Gothic"/>
        </w:rPr>
        <w:t>,</w:t>
      </w:r>
      <w:r w:rsidR="00507D27">
        <w:rPr>
          <w:rFonts w:ascii="Century Gothic" w:hAnsi="Century Gothic"/>
        </w:rPr>
        <w:t xml:space="preserve"> conforme al </w:t>
      </w:r>
      <w:r w:rsidR="006F0065">
        <w:rPr>
          <w:rFonts w:ascii="Century Gothic" w:hAnsi="Century Gothic"/>
        </w:rPr>
        <w:t xml:space="preserve">contenido del </w:t>
      </w:r>
      <w:r w:rsidR="00507D27">
        <w:rPr>
          <w:rFonts w:ascii="Century Gothic" w:hAnsi="Century Gothic"/>
        </w:rPr>
        <w:t xml:space="preserve">artículo 139 del </w:t>
      </w:r>
      <w:r w:rsidR="00507D27" w:rsidRPr="00F062F1">
        <w:rPr>
          <w:rFonts w:ascii="Century Gothic" w:hAnsi="Century Gothic"/>
        </w:rPr>
        <w:t xml:space="preserve">Texto </w:t>
      </w:r>
      <w:r w:rsidR="00507D27">
        <w:rPr>
          <w:rFonts w:ascii="Century Gothic" w:hAnsi="Century Gothic"/>
        </w:rPr>
        <w:t>R</w:t>
      </w:r>
      <w:r w:rsidR="00507D27" w:rsidRPr="00F062F1">
        <w:rPr>
          <w:rFonts w:ascii="Century Gothic" w:hAnsi="Century Gothic"/>
        </w:rPr>
        <w:t>efundido de la Ley de Puertos del Estado y de la Marina Mercante, aprobado por el Real Decreto Legislativo 2/2011, de 5 de septiembre</w:t>
      </w:r>
      <w:r w:rsidR="00507D27">
        <w:rPr>
          <w:rFonts w:ascii="Century Gothic" w:hAnsi="Century Gothic"/>
        </w:rPr>
        <w:t xml:space="preserve"> </w:t>
      </w:r>
      <w:r w:rsidR="00507D27" w:rsidRPr="00F062F1">
        <w:rPr>
          <w:rFonts w:ascii="Century Gothic" w:hAnsi="Century Gothic"/>
        </w:rPr>
        <w:t>(en adelante, TRLPEMM</w:t>
      </w:r>
      <w:r w:rsidR="00507D27">
        <w:rPr>
          <w:rFonts w:ascii="Century Gothic" w:hAnsi="Century Gothic"/>
        </w:rPr>
        <w:t>)</w:t>
      </w:r>
      <w:r w:rsidR="00CD4B88">
        <w:rPr>
          <w:rFonts w:ascii="Century Gothic" w:hAnsi="Century Gothic"/>
        </w:rPr>
        <w:t xml:space="preserve"> </w:t>
      </w:r>
      <w:r w:rsidR="00CD4B88" w:rsidRPr="00A416DA">
        <w:rPr>
          <w:rFonts w:ascii="Century Gothic" w:hAnsi="Century Gothic"/>
        </w:rPr>
        <w:t>que tengan como obje</w:t>
      </w:r>
      <w:r w:rsidR="006F3111">
        <w:rPr>
          <w:rFonts w:ascii="Century Gothic" w:hAnsi="Century Gothic"/>
        </w:rPr>
        <w:t>t</w:t>
      </w:r>
      <w:r w:rsidR="00CD4B88" w:rsidRPr="00A416DA">
        <w:rPr>
          <w:rFonts w:ascii="Century Gothic" w:hAnsi="Century Gothic"/>
        </w:rPr>
        <w:t>o la prestaci</w:t>
      </w:r>
      <w:r w:rsidR="009866B7">
        <w:rPr>
          <w:rFonts w:ascii="Century Gothic" w:hAnsi="Century Gothic"/>
        </w:rPr>
        <w:t>ón</w:t>
      </w:r>
      <w:r w:rsidR="00CD4B88" w:rsidRPr="00A416DA">
        <w:rPr>
          <w:rFonts w:ascii="Century Gothic" w:hAnsi="Century Gothic"/>
        </w:rPr>
        <w:t xml:space="preserve"> del servicio comercial de suministro de </w:t>
      </w:r>
      <w:r w:rsidR="00CD4B88">
        <w:rPr>
          <w:rFonts w:ascii="Century Gothic" w:hAnsi="Century Gothic"/>
        </w:rPr>
        <w:t>GNL</w:t>
      </w:r>
      <w:r w:rsidR="00CD4B88" w:rsidRPr="00A416DA">
        <w:rPr>
          <w:rFonts w:ascii="Century Gothic" w:hAnsi="Century Gothic"/>
        </w:rPr>
        <w:t xml:space="preserve"> a buques como combustible en el puerto d</w:t>
      </w:r>
      <w:r w:rsidR="00141DA0">
        <w:rPr>
          <w:rFonts w:ascii="Century Gothic" w:hAnsi="Century Gothic"/>
        </w:rPr>
        <w:t>e</w:t>
      </w:r>
      <w:r w:rsidR="00CD4B88" w:rsidRPr="00A416DA">
        <w:rPr>
          <w:rFonts w:ascii="Century Gothic" w:hAnsi="Century Gothic"/>
        </w:rPr>
        <w:t xml:space="preserve"> </w:t>
      </w:r>
      <w:r w:rsidR="00CD4B88" w:rsidRPr="00A416DA">
        <w:rPr>
          <w:rFonts w:ascii="Century Gothic" w:hAnsi="Century Gothic"/>
          <w:color w:val="FF0000"/>
        </w:rPr>
        <w:t>XXXX</w:t>
      </w:r>
      <w:r w:rsidR="00CD4B88" w:rsidRPr="00A416DA">
        <w:rPr>
          <w:rFonts w:ascii="Century Gothic" w:hAnsi="Century Gothic"/>
        </w:rPr>
        <w:t>, gestionado</w:t>
      </w:r>
      <w:r w:rsidR="00CD4B88" w:rsidRPr="00A416DA">
        <w:rPr>
          <w:rFonts w:ascii="Century Gothic" w:hAnsi="Century Gothic"/>
          <w:color w:val="FF0000"/>
        </w:rPr>
        <w:t xml:space="preserve"> </w:t>
      </w:r>
      <w:r w:rsidR="00CD4B88" w:rsidRPr="00A416DA">
        <w:rPr>
          <w:rFonts w:ascii="Century Gothic" w:hAnsi="Century Gothic"/>
        </w:rPr>
        <w:t xml:space="preserve">por la Autoridad Portuaria de </w:t>
      </w:r>
      <w:r w:rsidR="00CD4B88" w:rsidRPr="00A416DA">
        <w:rPr>
          <w:rFonts w:ascii="Century Gothic" w:hAnsi="Century Gothic"/>
          <w:color w:val="FF0000"/>
        </w:rPr>
        <w:t>XXXX</w:t>
      </w:r>
      <w:r w:rsidR="00CD4B88" w:rsidRPr="00A416DA">
        <w:rPr>
          <w:rFonts w:ascii="Century Gothic" w:hAnsi="Century Gothic"/>
        </w:rPr>
        <w:t xml:space="preserve"> (en adelante, Autoridad Portuaria). </w:t>
      </w:r>
    </w:p>
    <w:p w14:paraId="6E96C393" w14:textId="4AE0BDE2" w:rsidR="00DF3AD1" w:rsidRPr="006F0065" w:rsidRDefault="00BE7E80" w:rsidP="006965D8">
      <w:pPr>
        <w:pStyle w:val="Prrafodelista"/>
        <w:numPr>
          <w:ilvl w:val="0"/>
          <w:numId w:val="17"/>
        </w:numPr>
        <w:spacing w:line="276" w:lineRule="auto"/>
        <w:jc w:val="both"/>
        <w:rPr>
          <w:rFonts w:ascii="Century Gothic" w:hAnsi="Century Gothic"/>
        </w:rPr>
      </w:pPr>
      <w:r>
        <w:rPr>
          <w:rFonts w:ascii="Century Gothic" w:hAnsi="Century Gothic"/>
          <w:b/>
          <w:bCs/>
        </w:rPr>
        <w:t xml:space="preserve">Tramitación de las </w:t>
      </w:r>
      <w:r w:rsidR="0060336F">
        <w:rPr>
          <w:rFonts w:ascii="Century Gothic" w:hAnsi="Century Gothic"/>
          <w:b/>
          <w:bCs/>
        </w:rPr>
        <w:t>validaci</w:t>
      </w:r>
      <w:r>
        <w:rPr>
          <w:rFonts w:ascii="Century Gothic" w:hAnsi="Century Gothic"/>
          <w:b/>
          <w:bCs/>
        </w:rPr>
        <w:t xml:space="preserve">ones </w:t>
      </w:r>
      <w:r w:rsidR="008932B6" w:rsidRPr="006F0065">
        <w:rPr>
          <w:rFonts w:ascii="Century Gothic" w:hAnsi="Century Gothic"/>
          <w:b/>
          <w:bCs/>
        </w:rPr>
        <w:t>técnica</w:t>
      </w:r>
      <w:r>
        <w:rPr>
          <w:rFonts w:ascii="Century Gothic" w:hAnsi="Century Gothic"/>
          <w:b/>
          <w:bCs/>
        </w:rPr>
        <w:t>s</w:t>
      </w:r>
      <w:r w:rsidR="008932B6" w:rsidRPr="006F0065">
        <w:rPr>
          <w:rFonts w:ascii="Century Gothic" w:hAnsi="Century Gothic"/>
          <w:b/>
          <w:bCs/>
        </w:rPr>
        <w:t xml:space="preserve"> </w:t>
      </w:r>
      <w:r w:rsidR="00BC4F3E" w:rsidRPr="006F0065">
        <w:rPr>
          <w:rFonts w:ascii="Century Gothic" w:hAnsi="Century Gothic"/>
          <w:b/>
          <w:bCs/>
        </w:rPr>
        <w:t>asociadas a</w:t>
      </w:r>
      <w:r w:rsidR="00CD4B88" w:rsidRPr="006F0065">
        <w:rPr>
          <w:rFonts w:ascii="Century Gothic" w:hAnsi="Century Gothic"/>
          <w:b/>
          <w:bCs/>
        </w:rPr>
        <w:t xml:space="preserve"> un</w:t>
      </w:r>
      <w:r w:rsidR="00BF54BE">
        <w:rPr>
          <w:rFonts w:ascii="Century Gothic" w:hAnsi="Century Gothic"/>
          <w:b/>
          <w:bCs/>
        </w:rPr>
        <w:t xml:space="preserve"> título habilitante</w:t>
      </w:r>
      <w:r w:rsidR="00647CD5" w:rsidRPr="006F0065">
        <w:rPr>
          <w:rFonts w:ascii="Century Gothic" w:hAnsi="Century Gothic"/>
          <w:b/>
          <w:bCs/>
        </w:rPr>
        <w:t xml:space="preserve"> </w:t>
      </w:r>
      <w:r w:rsidR="00507D27" w:rsidRPr="006F0065">
        <w:rPr>
          <w:rFonts w:ascii="Century Gothic" w:hAnsi="Century Gothic"/>
          <w:b/>
          <w:bCs/>
        </w:rPr>
        <w:t>de servicio comercial</w:t>
      </w:r>
      <w:r w:rsidR="00BC4F3E" w:rsidRPr="006F0065">
        <w:rPr>
          <w:rFonts w:ascii="Century Gothic" w:hAnsi="Century Gothic"/>
        </w:rPr>
        <w:t xml:space="preserve"> </w:t>
      </w:r>
      <w:r w:rsidR="00647CD5" w:rsidRPr="006F0065">
        <w:rPr>
          <w:rFonts w:ascii="Century Gothic" w:hAnsi="Century Gothic"/>
        </w:rPr>
        <w:t>otorgad</w:t>
      </w:r>
      <w:r w:rsidR="00BF54BE">
        <w:rPr>
          <w:rFonts w:ascii="Century Gothic" w:hAnsi="Century Gothic"/>
        </w:rPr>
        <w:t>o</w:t>
      </w:r>
      <w:r w:rsidR="00647CD5" w:rsidRPr="006F0065">
        <w:rPr>
          <w:rFonts w:ascii="Century Gothic" w:hAnsi="Century Gothic"/>
        </w:rPr>
        <w:t xml:space="preserve"> conforme al punto 1. anterior, las cuales </w:t>
      </w:r>
      <w:r w:rsidR="00647CD5">
        <w:rPr>
          <w:rFonts w:ascii="Century Gothic" w:hAnsi="Century Gothic"/>
        </w:rPr>
        <w:t>han de regular el procedimiento y</w:t>
      </w:r>
      <w:r w:rsidR="00647CD5" w:rsidRPr="006F0065">
        <w:rPr>
          <w:rFonts w:ascii="Century Gothic" w:hAnsi="Century Gothic"/>
        </w:rPr>
        <w:t xml:space="preserve"> </w:t>
      </w:r>
      <w:r w:rsidR="00647CD5">
        <w:rPr>
          <w:rFonts w:ascii="Century Gothic" w:hAnsi="Century Gothic"/>
        </w:rPr>
        <w:t xml:space="preserve">las </w:t>
      </w:r>
      <w:r w:rsidR="00647CD5" w:rsidRPr="006F0065">
        <w:rPr>
          <w:rFonts w:ascii="Century Gothic" w:hAnsi="Century Gothic"/>
        </w:rPr>
        <w:t xml:space="preserve">condiciones </w:t>
      </w:r>
      <w:r w:rsidR="00647CD5">
        <w:rPr>
          <w:rFonts w:ascii="Century Gothic" w:hAnsi="Century Gothic"/>
        </w:rPr>
        <w:t xml:space="preserve">específicas de prestación </w:t>
      </w:r>
      <w:r w:rsidR="00647CD5" w:rsidRPr="006F0065">
        <w:rPr>
          <w:rFonts w:ascii="Century Gothic" w:hAnsi="Century Gothic"/>
        </w:rPr>
        <w:t xml:space="preserve">de las operaciones de suministro </w:t>
      </w:r>
      <w:r w:rsidR="006F0065">
        <w:rPr>
          <w:rFonts w:ascii="Century Gothic" w:hAnsi="Century Gothic"/>
        </w:rPr>
        <w:t xml:space="preserve">de GNL </w:t>
      </w:r>
      <w:r w:rsidR="00647CD5" w:rsidRPr="006F0065">
        <w:rPr>
          <w:rFonts w:ascii="Century Gothic" w:hAnsi="Century Gothic"/>
        </w:rPr>
        <w:t xml:space="preserve">para un buque o </w:t>
      </w:r>
      <w:r w:rsidR="006F0065">
        <w:rPr>
          <w:rFonts w:ascii="Century Gothic" w:hAnsi="Century Gothic"/>
        </w:rPr>
        <w:t xml:space="preserve">para un </w:t>
      </w:r>
      <w:r w:rsidR="00647CD5" w:rsidRPr="006F0065">
        <w:rPr>
          <w:rFonts w:ascii="Century Gothic" w:hAnsi="Century Gothic"/>
        </w:rPr>
        <w:t>conjunto de buques</w:t>
      </w:r>
      <w:r w:rsidR="006F0065">
        <w:rPr>
          <w:rFonts w:ascii="Century Gothic" w:hAnsi="Century Gothic"/>
        </w:rPr>
        <w:t xml:space="preserve"> su</w:t>
      </w:r>
      <w:r w:rsidR="00FE1A55">
        <w:rPr>
          <w:rFonts w:ascii="Century Gothic" w:hAnsi="Century Gothic"/>
        </w:rPr>
        <w:t>m</w:t>
      </w:r>
      <w:r w:rsidR="006F0065">
        <w:rPr>
          <w:rFonts w:ascii="Century Gothic" w:hAnsi="Century Gothic"/>
        </w:rPr>
        <w:t xml:space="preserve">inistradores o </w:t>
      </w:r>
      <w:r w:rsidR="00AE7E35">
        <w:rPr>
          <w:rFonts w:ascii="Century Gothic" w:hAnsi="Century Gothic"/>
        </w:rPr>
        <w:t>receptores</w:t>
      </w:r>
      <w:r w:rsidR="00647CD5" w:rsidRPr="006F0065">
        <w:rPr>
          <w:rFonts w:ascii="Century Gothic" w:hAnsi="Century Gothic"/>
        </w:rPr>
        <w:t xml:space="preserve"> del servicio </w:t>
      </w:r>
      <w:r w:rsidR="00CA451A" w:rsidRPr="006F0065">
        <w:rPr>
          <w:rFonts w:ascii="Century Gothic" w:hAnsi="Century Gothic"/>
        </w:rPr>
        <w:t>e</w:t>
      </w:r>
      <w:r w:rsidR="00AE2ED1" w:rsidRPr="006F0065">
        <w:rPr>
          <w:rFonts w:ascii="Century Gothic" w:hAnsi="Century Gothic"/>
        </w:rPr>
        <w:t>n</w:t>
      </w:r>
      <w:r w:rsidR="00BF5648" w:rsidRPr="006F0065">
        <w:rPr>
          <w:rFonts w:ascii="Century Gothic" w:hAnsi="Century Gothic"/>
        </w:rPr>
        <w:t xml:space="preserve"> el puerto de</w:t>
      </w:r>
      <w:r w:rsidR="00AE2ED1" w:rsidRPr="006F0065">
        <w:rPr>
          <w:rFonts w:ascii="Century Gothic" w:hAnsi="Century Gothic"/>
        </w:rPr>
        <w:t xml:space="preserve"> </w:t>
      </w:r>
      <w:r w:rsidR="00E42164" w:rsidRPr="006F0065">
        <w:rPr>
          <w:rFonts w:ascii="Century Gothic" w:hAnsi="Century Gothic"/>
          <w:color w:val="FF0000"/>
        </w:rPr>
        <w:t>XXXX</w:t>
      </w:r>
      <w:r w:rsidR="00E42164" w:rsidRPr="006F0065">
        <w:rPr>
          <w:rFonts w:ascii="Century Gothic" w:hAnsi="Century Gothic"/>
        </w:rPr>
        <w:t>,</w:t>
      </w:r>
      <w:r w:rsidR="00AE2ED1" w:rsidRPr="006F0065">
        <w:rPr>
          <w:rFonts w:ascii="Century Gothic" w:hAnsi="Century Gothic"/>
        </w:rPr>
        <w:t xml:space="preserve"> gestionado</w:t>
      </w:r>
      <w:r w:rsidR="0029498D" w:rsidRPr="006F0065">
        <w:rPr>
          <w:rFonts w:ascii="Century Gothic" w:hAnsi="Century Gothic"/>
          <w:color w:val="FF0000"/>
        </w:rPr>
        <w:t xml:space="preserve"> </w:t>
      </w:r>
      <w:r w:rsidR="00AE2ED1" w:rsidRPr="006F0065">
        <w:rPr>
          <w:rFonts w:ascii="Century Gothic" w:hAnsi="Century Gothic"/>
        </w:rPr>
        <w:t>por la Autoridad Portuaria</w:t>
      </w:r>
      <w:r w:rsidR="00DF3AD1" w:rsidRPr="006F0065">
        <w:rPr>
          <w:rFonts w:ascii="Century Gothic" w:hAnsi="Century Gothic"/>
        </w:rPr>
        <w:t xml:space="preserve">. </w:t>
      </w:r>
    </w:p>
    <w:p w14:paraId="0F13F5E5" w14:textId="75638F64" w:rsidR="00AE2ED1" w:rsidRDefault="00DF3AD1" w:rsidP="001E2C7D">
      <w:pPr>
        <w:spacing w:line="276" w:lineRule="auto"/>
        <w:jc w:val="both"/>
        <w:rPr>
          <w:rFonts w:ascii="Century Gothic" w:hAnsi="Century Gothic"/>
        </w:rPr>
      </w:pPr>
      <w:r>
        <w:rPr>
          <w:rFonts w:ascii="Century Gothic" w:hAnsi="Century Gothic"/>
        </w:rPr>
        <w:t>La prestación del servicio de suministro de GNL a buques se realizar</w:t>
      </w:r>
      <w:r w:rsidR="00BD52EA">
        <w:rPr>
          <w:rFonts w:ascii="Century Gothic" w:hAnsi="Century Gothic"/>
        </w:rPr>
        <w:t>á</w:t>
      </w:r>
      <w:r>
        <w:rPr>
          <w:rFonts w:ascii="Century Gothic" w:hAnsi="Century Gothic"/>
        </w:rPr>
        <w:t xml:space="preserve"> conforme al</w:t>
      </w:r>
      <w:r w:rsidR="00AE2ED1" w:rsidRPr="00F062F1">
        <w:rPr>
          <w:rFonts w:ascii="Century Gothic" w:hAnsi="Century Gothic"/>
        </w:rPr>
        <w:t xml:space="preserve"> Reglamento UE 2017/352</w:t>
      </w:r>
      <w:r w:rsidR="00F37471" w:rsidRPr="00F37471">
        <w:rPr>
          <w:rFonts w:ascii="Century Gothic" w:hAnsi="Century Gothic"/>
        </w:rPr>
        <w:t xml:space="preserve"> de 15 de febrero de 2017</w:t>
      </w:r>
      <w:r w:rsidR="00F37471">
        <w:rPr>
          <w:rFonts w:ascii="Century Gothic" w:hAnsi="Century Gothic"/>
        </w:rPr>
        <w:t>,</w:t>
      </w:r>
      <w:r w:rsidR="00F37471" w:rsidRPr="00F37471">
        <w:rPr>
          <w:rFonts w:ascii="Century Gothic" w:hAnsi="Century Gothic"/>
        </w:rPr>
        <w:t xml:space="preserve"> por el que se crea un marco para la prestación de servicios portuarios y se adoptan normas comunes sobre la transparencia financiera de los puertos (en adelante, Reglamento UE 2017/352)</w:t>
      </w:r>
      <w:r w:rsidR="00F37471">
        <w:rPr>
          <w:rFonts w:ascii="Century Gothic" w:hAnsi="Century Gothic"/>
        </w:rPr>
        <w:t>,</w:t>
      </w:r>
      <w:r w:rsidR="00F37471" w:rsidRPr="00F37471">
        <w:rPr>
          <w:rFonts w:ascii="Century Gothic" w:hAnsi="Century Gothic"/>
        </w:rPr>
        <w:t xml:space="preserve"> </w:t>
      </w:r>
      <w:bookmarkStart w:id="2" w:name="_Hlk151980775"/>
      <w:r w:rsidR="00AE2ED1" w:rsidRPr="00F062F1">
        <w:rPr>
          <w:rFonts w:ascii="Century Gothic" w:hAnsi="Century Gothic"/>
        </w:rPr>
        <w:t>y</w:t>
      </w:r>
      <w:r>
        <w:rPr>
          <w:rFonts w:ascii="Century Gothic" w:hAnsi="Century Gothic"/>
        </w:rPr>
        <w:t xml:space="preserve"> </w:t>
      </w:r>
      <w:r w:rsidR="006F0065">
        <w:rPr>
          <w:rFonts w:ascii="Century Gothic" w:hAnsi="Century Gothic"/>
        </w:rPr>
        <w:t xml:space="preserve">conforme </w:t>
      </w:r>
      <w:r w:rsidR="004A7DE4">
        <w:rPr>
          <w:rFonts w:ascii="Century Gothic" w:hAnsi="Century Gothic"/>
        </w:rPr>
        <w:t>a</w:t>
      </w:r>
      <w:r w:rsidR="0029498D">
        <w:rPr>
          <w:rFonts w:ascii="Century Gothic" w:hAnsi="Century Gothic"/>
        </w:rPr>
        <w:t>l</w:t>
      </w:r>
      <w:r w:rsidR="00AE2ED1" w:rsidRPr="00F062F1">
        <w:rPr>
          <w:rFonts w:ascii="Century Gothic" w:hAnsi="Century Gothic"/>
        </w:rPr>
        <w:t xml:space="preserve"> T</w:t>
      </w:r>
      <w:r w:rsidR="009B1977">
        <w:rPr>
          <w:rFonts w:ascii="Century Gothic" w:hAnsi="Century Gothic"/>
        </w:rPr>
        <w:t>RLPEMM en</w:t>
      </w:r>
      <w:r w:rsidR="004A7DE4">
        <w:rPr>
          <w:rFonts w:ascii="Century Gothic" w:hAnsi="Century Gothic"/>
        </w:rPr>
        <w:t xml:space="preserve"> lo que no se oponga al Reglamento UE 2017/352</w:t>
      </w:r>
      <w:r w:rsidR="00BE0461">
        <w:rPr>
          <w:rFonts w:ascii="Century Gothic" w:hAnsi="Century Gothic"/>
        </w:rPr>
        <w:t>.</w:t>
      </w:r>
      <w:bookmarkEnd w:id="2"/>
      <w:r w:rsidR="00AE2ED1" w:rsidRPr="00F062F1">
        <w:rPr>
          <w:rFonts w:ascii="Century Gothic" w:hAnsi="Century Gothic"/>
        </w:rPr>
        <w:t xml:space="preserve"> </w:t>
      </w:r>
    </w:p>
    <w:p w14:paraId="0BCD1C39" w14:textId="77777777" w:rsidR="00185281" w:rsidRDefault="00185281" w:rsidP="001E2C7D">
      <w:pPr>
        <w:pStyle w:val="Prrafodelista"/>
        <w:spacing w:line="276" w:lineRule="auto"/>
        <w:ind w:left="426"/>
        <w:jc w:val="both"/>
        <w:rPr>
          <w:rFonts w:ascii="Century Gothic" w:hAnsi="Century Gothic"/>
        </w:rPr>
      </w:pPr>
    </w:p>
    <w:p w14:paraId="56C07BDD" w14:textId="245F8FDA" w:rsidR="00185281" w:rsidRPr="00F062F1" w:rsidRDefault="00E96ED3" w:rsidP="001E2C7D">
      <w:pPr>
        <w:pStyle w:val="Ttulo2"/>
        <w:spacing w:line="276" w:lineRule="auto"/>
        <w:jc w:val="both"/>
        <w:rPr>
          <w:rFonts w:ascii="Century Gothic" w:hAnsi="Century Gothic" w:cstheme="minorHAnsi"/>
        </w:rPr>
      </w:pPr>
      <w:bookmarkStart w:id="3" w:name="_Toc230677699"/>
      <w:r>
        <w:rPr>
          <w:rFonts w:ascii="Century Gothic" w:hAnsi="Century Gothic" w:cstheme="minorHAnsi"/>
        </w:rPr>
        <w:t>Condición</w:t>
      </w:r>
      <w:r w:rsidR="00185281" w:rsidRPr="00F062F1">
        <w:rPr>
          <w:rFonts w:ascii="Century Gothic" w:hAnsi="Century Gothic" w:cstheme="minorHAnsi"/>
        </w:rPr>
        <w:t xml:space="preserve"> </w:t>
      </w:r>
      <w:r w:rsidR="00DD01EC" w:rsidRPr="00F062F1">
        <w:rPr>
          <w:rFonts w:ascii="Century Gothic" w:hAnsi="Century Gothic" w:cstheme="minorHAnsi"/>
        </w:rPr>
        <w:fldChar w:fldCharType="begin"/>
      </w:r>
      <w:r w:rsidR="00185281" w:rsidRPr="00F062F1">
        <w:rPr>
          <w:rFonts w:ascii="Century Gothic" w:hAnsi="Century Gothic" w:cstheme="minorHAnsi"/>
        </w:rPr>
        <w:instrText xml:space="preserve"> SEQ Prescripción \* ARABIC </w:instrText>
      </w:r>
      <w:r w:rsidR="00DD01EC" w:rsidRPr="00F062F1">
        <w:rPr>
          <w:rFonts w:ascii="Century Gothic" w:hAnsi="Century Gothic" w:cstheme="minorHAnsi"/>
        </w:rPr>
        <w:fldChar w:fldCharType="separate"/>
      </w:r>
      <w:r w:rsidR="00CD2474">
        <w:rPr>
          <w:rFonts w:ascii="Century Gothic" w:hAnsi="Century Gothic" w:cstheme="minorHAnsi"/>
          <w:noProof/>
        </w:rPr>
        <w:t>2</w:t>
      </w:r>
      <w:r w:rsidR="00DD01EC" w:rsidRPr="00F062F1">
        <w:rPr>
          <w:rFonts w:ascii="Century Gothic" w:hAnsi="Century Gothic" w:cstheme="minorHAnsi"/>
        </w:rPr>
        <w:fldChar w:fldCharType="end"/>
      </w:r>
      <w:r w:rsidR="00185281" w:rsidRPr="00F062F1">
        <w:rPr>
          <w:rFonts w:ascii="Century Gothic" w:hAnsi="Century Gothic" w:cstheme="minorHAnsi"/>
        </w:rPr>
        <w:t xml:space="preserve">ª: </w:t>
      </w:r>
      <w:r w:rsidR="00CF4CA6" w:rsidRPr="00F062F1">
        <w:rPr>
          <w:rFonts w:ascii="Century Gothic" w:hAnsi="Century Gothic" w:cstheme="minorHAnsi"/>
        </w:rPr>
        <w:t>Definición del servicio</w:t>
      </w:r>
      <w:r w:rsidR="0074045D">
        <w:rPr>
          <w:rFonts w:ascii="Century Gothic" w:hAnsi="Century Gothic" w:cstheme="minorHAnsi"/>
        </w:rPr>
        <w:t xml:space="preserve"> y modalidades de suministro</w:t>
      </w:r>
      <w:bookmarkEnd w:id="3"/>
    </w:p>
    <w:p w14:paraId="4CD25714" w14:textId="77777777" w:rsidR="009E53B3" w:rsidRDefault="009E53B3" w:rsidP="001E2C7D">
      <w:pPr>
        <w:spacing w:line="276" w:lineRule="auto"/>
        <w:ind w:firstLine="426"/>
        <w:jc w:val="both"/>
        <w:rPr>
          <w:rFonts w:ascii="Century Gothic" w:hAnsi="Century Gothic"/>
        </w:rPr>
      </w:pPr>
    </w:p>
    <w:p w14:paraId="5D75F06F" w14:textId="323D5529" w:rsidR="00887B54" w:rsidRDefault="005A12C8" w:rsidP="001E2C7D">
      <w:pPr>
        <w:spacing w:line="276" w:lineRule="auto"/>
        <w:jc w:val="both"/>
        <w:rPr>
          <w:rFonts w:ascii="Century Gothic" w:hAnsi="Century Gothic"/>
        </w:rPr>
      </w:pPr>
      <w:r>
        <w:rPr>
          <w:rFonts w:ascii="Century Gothic" w:hAnsi="Century Gothic"/>
        </w:rPr>
        <w:t>De acuerdo</w:t>
      </w:r>
      <w:r w:rsidRPr="009E53B3">
        <w:rPr>
          <w:rFonts w:ascii="Century Gothic" w:hAnsi="Century Gothic"/>
        </w:rPr>
        <w:t xml:space="preserve"> </w:t>
      </w:r>
      <w:r>
        <w:rPr>
          <w:rFonts w:ascii="Century Gothic" w:hAnsi="Century Gothic"/>
        </w:rPr>
        <w:t>con la definición del artículo 2.1 de</w:t>
      </w:r>
      <w:r w:rsidRPr="00F062F1">
        <w:rPr>
          <w:rFonts w:ascii="Century Gothic" w:hAnsi="Century Gothic"/>
        </w:rPr>
        <w:t>l Reglamento UE 2017/352</w:t>
      </w:r>
      <w:r>
        <w:rPr>
          <w:rFonts w:ascii="Century Gothic" w:hAnsi="Century Gothic"/>
        </w:rPr>
        <w:t>, s</w:t>
      </w:r>
      <w:r w:rsidR="00C00BBF" w:rsidRPr="009E53B3">
        <w:rPr>
          <w:rFonts w:ascii="Century Gothic" w:hAnsi="Century Gothic"/>
        </w:rPr>
        <w:t xml:space="preserve">e entiende por servicio </w:t>
      </w:r>
      <w:r w:rsidR="00AA4DC5" w:rsidRPr="009E53B3">
        <w:rPr>
          <w:rFonts w:ascii="Century Gothic" w:hAnsi="Century Gothic"/>
        </w:rPr>
        <w:t>de suministro de comb</w:t>
      </w:r>
      <w:r w:rsidR="00714109">
        <w:rPr>
          <w:rFonts w:ascii="Century Gothic" w:hAnsi="Century Gothic"/>
        </w:rPr>
        <w:t>u</w:t>
      </w:r>
      <w:r w:rsidR="00AA4DC5" w:rsidRPr="009E53B3">
        <w:rPr>
          <w:rFonts w:ascii="Century Gothic" w:hAnsi="Century Gothic"/>
        </w:rPr>
        <w:t xml:space="preserve">stible </w:t>
      </w:r>
      <w:r w:rsidR="009E53B3" w:rsidRPr="009E53B3">
        <w:rPr>
          <w:rFonts w:ascii="Century Gothic" w:hAnsi="Century Gothic"/>
        </w:rPr>
        <w:t>el aprovisionamiento de combustible sólido, líquido o gaseoso o de cualquier otra</w:t>
      </w:r>
      <w:r w:rsidR="009E53B3">
        <w:rPr>
          <w:rFonts w:ascii="Century Gothic" w:hAnsi="Century Gothic"/>
        </w:rPr>
        <w:t xml:space="preserve"> </w:t>
      </w:r>
      <w:r w:rsidR="009E53B3" w:rsidRPr="009E53B3">
        <w:rPr>
          <w:rFonts w:ascii="Century Gothic" w:hAnsi="Century Gothic"/>
        </w:rPr>
        <w:t>fuente de energía utilizada para la propulsión del buque</w:t>
      </w:r>
      <w:r>
        <w:rPr>
          <w:rFonts w:ascii="Century Gothic" w:hAnsi="Century Gothic"/>
        </w:rPr>
        <w:t>.</w:t>
      </w:r>
      <w:r w:rsidR="009E53B3">
        <w:rPr>
          <w:rFonts w:ascii="Century Gothic" w:hAnsi="Century Gothic"/>
        </w:rPr>
        <w:t xml:space="preserve"> </w:t>
      </w:r>
      <w:bookmarkStart w:id="4" w:name="_Hlk368394"/>
    </w:p>
    <w:p w14:paraId="1FBD3F20" w14:textId="6DA33EF9" w:rsidR="00192744" w:rsidRPr="00192744" w:rsidRDefault="00966E73" w:rsidP="001E2C7D">
      <w:pPr>
        <w:spacing w:line="276" w:lineRule="auto"/>
        <w:jc w:val="both"/>
        <w:rPr>
          <w:rFonts w:ascii="Century Gothic" w:hAnsi="Century Gothic"/>
        </w:rPr>
      </w:pPr>
      <w:r>
        <w:rPr>
          <w:rFonts w:ascii="Century Gothic" w:hAnsi="Century Gothic"/>
        </w:rPr>
        <w:t xml:space="preserve">El </w:t>
      </w:r>
      <w:r w:rsidRPr="00192744">
        <w:rPr>
          <w:rFonts w:ascii="Century Gothic" w:hAnsi="Century Gothic"/>
        </w:rPr>
        <w:t>presente P</w:t>
      </w:r>
      <w:r w:rsidR="00BD0908" w:rsidRPr="00192744">
        <w:rPr>
          <w:rFonts w:ascii="Century Gothic" w:hAnsi="Century Gothic"/>
        </w:rPr>
        <w:t>CP</w:t>
      </w:r>
      <w:r w:rsidRPr="00192744">
        <w:rPr>
          <w:rFonts w:ascii="Century Gothic" w:hAnsi="Century Gothic"/>
        </w:rPr>
        <w:t xml:space="preserve"> regula</w:t>
      </w:r>
      <w:r w:rsidR="00874D51" w:rsidRPr="00192744">
        <w:rPr>
          <w:rFonts w:ascii="Century Gothic" w:hAnsi="Century Gothic"/>
        </w:rPr>
        <w:t xml:space="preserve"> de manera particular el servicio de suministro</w:t>
      </w:r>
      <w:r w:rsidR="00FD3A8B" w:rsidRPr="00192744">
        <w:rPr>
          <w:rFonts w:ascii="Century Gothic" w:hAnsi="Century Gothic"/>
        </w:rPr>
        <w:t xml:space="preserve"> de GNL</w:t>
      </w:r>
      <w:r w:rsidR="00874D51" w:rsidRPr="00192744">
        <w:rPr>
          <w:rFonts w:ascii="Century Gothic" w:hAnsi="Century Gothic"/>
        </w:rPr>
        <w:t xml:space="preserve"> </w:t>
      </w:r>
      <w:r w:rsidR="00E37DD0" w:rsidRPr="00192744">
        <w:rPr>
          <w:rFonts w:ascii="Century Gothic" w:hAnsi="Century Gothic"/>
        </w:rPr>
        <w:t xml:space="preserve">a buques </w:t>
      </w:r>
      <w:r w:rsidR="00FD3A8B" w:rsidRPr="00192744">
        <w:rPr>
          <w:rFonts w:ascii="Century Gothic" w:hAnsi="Century Gothic"/>
        </w:rPr>
        <w:t>como</w:t>
      </w:r>
      <w:r w:rsidR="00874D51" w:rsidRPr="00192744">
        <w:rPr>
          <w:rFonts w:ascii="Century Gothic" w:hAnsi="Century Gothic"/>
        </w:rPr>
        <w:t xml:space="preserve"> combustible</w:t>
      </w:r>
      <w:r w:rsidR="000A065B">
        <w:rPr>
          <w:rFonts w:ascii="Century Gothic" w:hAnsi="Century Gothic"/>
        </w:rPr>
        <w:t xml:space="preserve"> incluyendo dentro de la definición de GNL todos aquellos productos considerados por la industria asimilables a GNL tal como definido por la </w:t>
      </w:r>
      <w:r w:rsidR="000A065B" w:rsidRPr="00FE48A3">
        <w:rPr>
          <w:rFonts w:ascii="Century Gothic" w:hAnsi="Century Gothic"/>
        </w:rPr>
        <w:t>UNE</w:t>
      </w:r>
      <w:r w:rsidR="000A065B" w:rsidRPr="00FE48A3">
        <w:rPr>
          <w:rFonts w:ascii="Century Gothic" w:hAnsi="Century Gothic"/>
        </w:rPr>
        <w:noBreakHyphen/>
        <w:t>EN ISO 23306:2021</w:t>
      </w:r>
      <w:r w:rsidR="000A065B">
        <w:rPr>
          <w:rFonts w:ascii="Century Gothic" w:hAnsi="Century Gothic"/>
        </w:rPr>
        <w:t xml:space="preserve"> incluyendo</w:t>
      </w:r>
      <w:r w:rsidR="005650DF">
        <w:rPr>
          <w:rFonts w:ascii="Century Gothic" w:hAnsi="Century Gothic"/>
        </w:rPr>
        <w:t>,</w:t>
      </w:r>
      <w:r w:rsidR="000A065B">
        <w:rPr>
          <w:rFonts w:ascii="Century Gothic" w:hAnsi="Century Gothic"/>
        </w:rPr>
        <w:t xml:space="preserve"> entre otros</w:t>
      </w:r>
      <w:r w:rsidR="005650DF">
        <w:rPr>
          <w:rFonts w:ascii="Century Gothic" w:hAnsi="Century Gothic"/>
        </w:rPr>
        <w:t>,</w:t>
      </w:r>
      <w:r w:rsidR="00192744" w:rsidRPr="00192744">
        <w:rPr>
          <w:rFonts w:ascii="Century Gothic" w:hAnsi="Century Gothic"/>
        </w:rPr>
        <w:t xml:space="preserve"> biometano licuado (BioGNL), GNL sintético (e-GNL) y </w:t>
      </w:r>
      <w:r w:rsidR="00017CE6">
        <w:rPr>
          <w:rFonts w:ascii="Century Gothic" w:hAnsi="Century Gothic"/>
        </w:rPr>
        <w:t xml:space="preserve">determinadas </w:t>
      </w:r>
      <w:r w:rsidR="00192744" w:rsidRPr="00192744">
        <w:rPr>
          <w:rFonts w:ascii="Century Gothic" w:hAnsi="Century Gothic"/>
        </w:rPr>
        <w:t>mezclas de GNL, por tener éstos propiedades fisicoquímicas muy similares.</w:t>
      </w:r>
    </w:p>
    <w:p w14:paraId="6749487B" w14:textId="212152FA" w:rsidR="005E5B63" w:rsidRDefault="00192744" w:rsidP="001E2C7D">
      <w:pPr>
        <w:spacing w:line="276" w:lineRule="auto"/>
        <w:jc w:val="both"/>
        <w:rPr>
          <w:rFonts w:ascii="Century Gothic" w:hAnsi="Century Gothic"/>
        </w:rPr>
      </w:pPr>
      <w:r w:rsidRPr="00192744">
        <w:rPr>
          <w:rFonts w:ascii="Century Gothic" w:hAnsi="Century Gothic"/>
        </w:rPr>
        <w:t>El suministro se realizará mediante</w:t>
      </w:r>
      <w:r w:rsidR="005E5B63" w:rsidRPr="00192744">
        <w:rPr>
          <w:rFonts w:ascii="Century Gothic" w:hAnsi="Century Gothic"/>
        </w:rPr>
        <w:t xml:space="preserve"> la</w:t>
      </w:r>
      <w:r w:rsidRPr="00192744">
        <w:rPr>
          <w:rFonts w:ascii="Century Gothic" w:hAnsi="Century Gothic"/>
        </w:rPr>
        <w:t>/</w:t>
      </w:r>
      <w:r w:rsidR="005E5B63" w:rsidRPr="00192744">
        <w:rPr>
          <w:rFonts w:ascii="Century Gothic" w:hAnsi="Century Gothic"/>
        </w:rPr>
        <w:t>s siguiente</w:t>
      </w:r>
      <w:r w:rsidRPr="00192744">
        <w:rPr>
          <w:rFonts w:ascii="Century Gothic" w:hAnsi="Century Gothic"/>
        </w:rPr>
        <w:t>/</w:t>
      </w:r>
      <w:r w:rsidR="005E5B63" w:rsidRPr="00192744">
        <w:rPr>
          <w:rFonts w:ascii="Century Gothic" w:hAnsi="Century Gothic"/>
        </w:rPr>
        <w:t>s modalidad</w:t>
      </w:r>
      <w:r w:rsidRPr="00192744">
        <w:rPr>
          <w:rFonts w:ascii="Century Gothic" w:hAnsi="Century Gothic"/>
        </w:rPr>
        <w:t>/</w:t>
      </w:r>
      <w:r w:rsidR="005E5B63" w:rsidRPr="00192744">
        <w:rPr>
          <w:rFonts w:ascii="Century Gothic" w:hAnsi="Century Gothic"/>
        </w:rPr>
        <w:t xml:space="preserve">es </w:t>
      </w:r>
      <w:r w:rsidR="005E5B63">
        <w:rPr>
          <w:rFonts w:ascii="Century Gothic" w:hAnsi="Century Gothic"/>
          <w:color w:val="FF0000"/>
        </w:rPr>
        <w:t>(</w:t>
      </w:r>
      <w:r w:rsidR="007963E3">
        <w:rPr>
          <w:rFonts w:ascii="Century Gothic" w:hAnsi="Century Gothic"/>
          <w:color w:val="FF0000"/>
        </w:rPr>
        <w:t>texto en rojo</w:t>
      </w:r>
      <w:r w:rsidR="00D33054">
        <w:rPr>
          <w:rFonts w:ascii="Century Gothic" w:hAnsi="Century Gothic"/>
          <w:color w:val="FF0000"/>
        </w:rPr>
        <w:t>: s</w:t>
      </w:r>
      <w:r w:rsidR="005E5B63">
        <w:rPr>
          <w:rFonts w:ascii="Century Gothic" w:hAnsi="Century Gothic"/>
          <w:color w:val="FF0000"/>
        </w:rPr>
        <w:t>uprimir</w:t>
      </w:r>
      <w:r w:rsidR="008C4BE0">
        <w:rPr>
          <w:rFonts w:ascii="Century Gothic" w:hAnsi="Century Gothic"/>
          <w:color w:val="FF0000"/>
        </w:rPr>
        <w:t>,</w:t>
      </w:r>
      <w:r w:rsidR="005E5B63">
        <w:rPr>
          <w:rFonts w:ascii="Century Gothic" w:hAnsi="Century Gothic"/>
          <w:color w:val="FF0000"/>
        </w:rPr>
        <w:t xml:space="preserve"> modificar</w:t>
      </w:r>
      <w:r w:rsidR="00FA1D7B">
        <w:rPr>
          <w:rFonts w:ascii="Century Gothic" w:hAnsi="Century Gothic"/>
          <w:color w:val="FF0000"/>
        </w:rPr>
        <w:t xml:space="preserve"> </w:t>
      </w:r>
      <w:r w:rsidR="008C4BE0">
        <w:rPr>
          <w:rFonts w:ascii="Century Gothic" w:hAnsi="Century Gothic"/>
          <w:color w:val="FF0000"/>
        </w:rPr>
        <w:t xml:space="preserve">y particularizar </w:t>
      </w:r>
      <w:r w:rsidR="00FA1D7B">
        <w:rPr>
          <w:rFonts w:ascii="Century Gothic" w:hAnsi="Century Gothic"/>
          <w:color w:val="FF0000"/>
        </w:rPr>
        <w:t>por la A</w:t>
      </w:r>
      <w:r w:rsidR="0072214D">
        <w:rPr>
          <w:rFonts w:ascii="Century Gothic" w:hAnsi="Century Gothic"/>
          <w:color w:val="FF0000"/>
        </w:rPr>
        <w:t>utoridad Portuaria</w:t>
      </w:r>
      <w:r w:rsidR="00B44D2C">
        <w:rPr>
          <w:rFonts w:ascii="Century Gothic" w:hAnsi="Century Gothic"/>
          <w:color w:val="FF0000"/>
        </w:rPr>
        <w:t xml:space="preserve"> según</w:t>
      </w:r>
      <w:r w:rsidR="005E5B63">
        <w:rPr>
          <w:rFonts w:ascii="Century Gothic" w:hAnsi="Century Gothic"/>
          <w:color w:val="FF0000"/>
        </w:rPr>
        <w:t xml:space="preserve"> proceda):</w:t>
      </w:r>
      <w:r w:rsidR="005E5B63">
        <w:rPr>
          <w:rFonts w:ascii="Century Gothic" w:hAnsi="Century Gothic"/>
        </w:rPr>
        <w:t xml:space="preserve"> </w:t>
      </w:r>
    </w:p>
    <w:p w14:paraId="638C6628" w14:textId="0283B767" w:rsidR="00FE7CCD" w:rsidRPr="00192744" w:rsidRDefault="00FE7CCD" w:rsidP="006965D8">
      <w:pPr>
        <w:pStyle w:val="Prrafodelista"/>
        <w:numPr>
          <w:ilvl w:val="0"/>
          <w:numId w:val="15"/>
        </w:numPr>
        <w:tabs>
          <w:tab w:val="left" w:pos="1140"/>
        </w:tabs>
        <w:jc w:val="both"/>
        <w:rPr>
          <w:rFonts w:ascii="Century Gothic" w:hAnsi="Century Gothic"/>
          <w:color w:val="FF0000"/>
        </w:rPr>
      </w:pPr>
      <w:r w:rsidRPr="00192744">
        <w:rPr>
          <w:rFonts w:ascii="Century Gothic" w:hAnsi="Century Gothic"/>
          <w:color w:val="FF0000"/>
        </w:rPr>
        <w:lastRenderedPageBreak/>
        <w:t>Suministro de GNL medi</w:t>
      </w:r>
      <w:r w:rsidR="00DD52B7">
        <w:rPr>
          <w:rFonts w:ascii="Century Gothic" w:hAnsi="Century Gothic"/>
          <w:color w:val="FF0000"/>
        </w:rPr>
        <w:t>a</w:t>
      </w:r>
      <w:r w:rsidRPr="00192744">
        <w:rPr>
          <w:rFonts w:ascii="Century Gothic" w:hAnsi="Century Gothic"/>
          <w:color w:val="FF0000"/>
        </w:rPr>
        <w:t>nte medios flotantes a b</w:t>
      </w:r>
      <w:r w:rsidR="00A11BC2">
        <w:rPr>
          <w:rFonts w:ascii="Century Gothic" w:hAnsi="Century Gothic"/>
          <w:color w:val="FF0000"/>
        </w:rPr>
        <w:t>u</w:t>
      </w:r>
      <w:r w:rsidRPr="00192744">
        <w:rPr>
          <w:rFonts w:ascii="Century Gothic" w:hAnsi="Century Gothic"/>
          <w:color w:val="FF0000"/>
        </w:rPr>
        <w:t>que (STS): Buque suministrador, Buque receptor (con documentación de conformidad de la terminal</w:t>
      </w:r>
      <w:r w:rsidR="00D7387A" w:rsidRPr="00192744">
        <w:rPr>
          <w:rFonts w:ascii="Century Gothic" w:hAnsi="Century Gothic"/>
          <w:color w:val="FF0000"/>
        </w:rPr>
        <w:t xml:space="preserve"> en las operaciones en muelle</w:t>
      </w:r>
      <w:r w:rsidRPr="00192744">
        <w:rPr>
          <w:rFonts w:ascii="Century Gothic" w:hAnsi="Century Gothic"/>
          <w:color w:val="FF0000"/>
        </w:rPr>
        <w:t>)</w:t>
      </w:r>
      <w:r w:rsidR="00FA1D7B" w:rsidRPr="00192744">
        <w:rPr>
          <w:rFonts w:ascii="Century Gothic" w:hAnsi="Century Gothic"/>
          <w:color w:val="FF0000"/>
        </w:rPr>
        <w:t>.</w:t>
      </w:r>
    </w:p>
    <w:p w14:paraId="03FC6CFC" w14:textId="23C57573" w:rsidR="006262AF" w:rsidRPr="004C0AE3" w:rsidRDefault="006262AF" w:rsidP="006262AF">
      <w:pPr>
        <w:tabs>
          <w:tab w:val="left" w:pos="1140"/>
        </w:tabs>
        <w:jc w:val="both"/>
        <w:rPr>
          <w:rFonts w:ascii="Century Gothic" w:hAnsi="Century Gothic"/>
          <w:color w:val="FF0000"/>
        </w:rPr>
      </w:pPr>
      <w:r w:rsidRPr="004C0AE3">
        <w:rPr>
          <w:rFonts w:ascii="Century Gothic" w:hAnsi="Century Gothic"/>
          <w:color w:val="FF0000"/>
        </w:rPr>
        <w:t xml:space="preserve">En el caso de las autorizaciones </w:t>
      </w:r>
      <w:r w:rsidR="00027DD8">
        <w:rPr>
          <w:rFonts w:ascii="Century Gothic" w:hAnsi="Century Gothic"/>
          <w:color w:val="FF0000"/>
        </w:rPr>
        <w:t xml:space="preserve">técnicas </w:t>
      </w:r>
      <w:r w:rsidRPr="004C0AE3">
        <w:rPr>
          <w:rFonts w:ascii="Century Gothic" w:hAnsi="Century Gothic"/>
          <w:color w:val="FF0000"/>
        </w:rPr>
        <w:t>de suministro de GNL con medios flotantes (STS) se distinguirá entre:</w:t>
      </w:r>
    </w:p>
    <w:p w14:paraId="05EDA970" w14:textId="0ED63901" w:rsidR="006262AF" w:rsidRPr="00192744" w:rsidRDefault="00192744" w:rsidP="003B5F4D">
      <w:pPr>
        <w:tabs>
          <w:tab w:val="left" w:pos="1140"/>
        </w:tabs>
        <w:ind w:left="1140"/>
        <w:jc w:val="both"/>
        <w:rPr>
          <w:rFonts w:ascii="Century Gothic" w:hAnsi="Century Gothic"/>
          <w:color w:val="FF0000"/>
        </w:rPr>
      </w:pPr>
      <w:r w:rsidRPr="00192744">
        <w:rPr>
          <w:rFonts w:ascii="Century Gothic" w:hAnsi="Century Gothic"/>
          <w:color w:val="FF0000"/>
        </w:rPr>
        <w:t xml:space="preserve">1.1 </w:t>
      </w:r>
      <w:r w:rsidR="00DB0B5D">
        <w:rPr>
          <w:rFonts w:ascii="Century Gothic" w:hAnsi="Century Gothic"/>
          <w:color w:val="FF0000"/>
        </w:rPr>
        <w:t>Buque suministrador c</w:t>
      </w:r>
      <w:r w:rsidR="006262AF" w:rsidRPr="00192744">
        <w:rPr>
          <w:rFonts w:ascii="Century Gothic" w:hAnsi="Century Gothic"/>
          <w:color w:val="FF0000"/>
        </w:rPr>
        <w:t xml:space="preserve">on base en puerto: </w:t>
      </w:r>
      <w:r w:rsidR="00653379">
        <w:rPr>
          <w:rFonts w:ascii="Century Gothic" w:hAnsi="Century Gothic"/>
          <w:color w:val="FF0000"/>
        </w:rPr>
        <w:t>Cuando</w:t>
      </w:r>
      <w:r w:rsidR="006262AF" w:rsidRPr="00192744">
        <w:rPr>
          <w:rFonts w:ascii="Century Gothic" w:hAnsi="Century Gothic"/>
          <w:color w:val="FF0000"/>
        </w:rPr>
        <w:t xml:space="preserve"> el buque suministrador utili</w:t>
      </w:r>
      <w:r w:rsidR="00653379">
        <w:rPr>
          <w:rFonts w:ascii="Century Gothic" w:hAnsi="Century Gothic"/>
          <w:color w:val="FF0000"/>
        </w:rPr>
        <w:t>za</w:t>
      </w:r>
      <w:r w:rsidR="006262AF" w:rsidRPr="00192744">
        <w:rPr>
          <w:rFonts w:ascii="Century Gothic" w:hAnsi="Century Gothic"/>
          <w:color w:val="FF0000"/>
        </w:rPr>
        <w:t xml:space="preserve"> como puerto de estancia prioritario el de </w:t>
      </w:r>
      <w:r w:rsidRPr="00192744">
        <w:rPr>
          <w:rFonts w:ascii="Century Gothic" w:hAnsi="Century Gothic"/>
          <w:color w:val="FF0000"/>
        </w:rPr>
        <w:t xml:space="preserve">XXXX, </w:t>
      </w:r>
      <w:r w:rsidR="006262AF" w:rsidRPr="00192744">
        <w:rPr>
          <w:rFonts w:ascii="Century Gothic" w:hAnsi="Century Gothic"/>
          <w:color w:val="FF0000"/>
        </w:rPr>
        <w:t xml:space="preserve">de forma que, como mínimo cada año natural durante la vigencia de la autorización, acumule un periodo de permanencia en el puerto de </w:t>
      </w:r>
      <w:r w:rsidRPr="00192744">
        <w:rPr>
          <w:rFonts w:ascii="Century Gothic" w:hAnsi="Century Gothic"/>
          <w:color w:val="FF0000"/>
        </w:rPr>
        <w:t xml:space="preserve">XXXX </w:t>
      </w:r>
      <w:r w:rsidR="006262AF" w:rsidRPr="00192744">
        <w:rPr>
          <w:rFonts w:ascii="Century Gothic" w:hAnsi="Century Gothic"/>
          <w:color w:val="FF0000"/>
        </w:rPr>
        <w:t xml:space="preserve">superior a </w:t>
      </w:r>
      <w:r w:rsidR="0071415C">
        <w:rPr>
          <w:rFonts w:ascii="Century Gothic" w:hAnsi="Century Gothic"/>
          <w:color w:val="FF0000"/>
        </w:rPr>
        <w:t>XXX</w:t>
      </w:r>
      <w:r w:rsidR="006262AF" w:rsidRPr="00192744">
        <w:rPr>
          <w:rFonts w:ascii="Century Gothic" w:hAnsi="Century Gothic"/>
          <w:color w:val="FF0000"/>
        </w:rPr>
        <w:t xml:space="preserve"> meses. </w:t>
      </w:r>
      <w:bookmarkStart w:id="5" w:name="_Hlk138932042"/>
      <w:r w:rsidR="006262AF" w:rsidRPr="00192744">
        <w:rPr>
          <w:rFonts w:ascii="Century Gothic" w:hAnsi="Century Gothic"/>
          <w:color w:val="FF0000"/>
        </w:rPr>
        <w:t>La Autoridad Portuaria, a la vista d</w:t>
      </w:r>
      <w:r w:rsidR="00714109">
        <w:rPr>
          <w:rFonts w:ascii="Century Gothic" w:hAnsi="Century Gothic"/>
          <w:color w:val="FF0000"/>
        </w:rPr>
        <w:t>e</w:t>
      </w:r>
      <w:r w:rsidR="006262AF" w:rsidRPr="00192744">
        <w:rPr>
          <w:rFonts w:ascii="Century Gothic" w:hAnsi="Century Gothic"/>
          <w:color w:val="FF0000"/>
        </w:rPr>
        <w:t xml:space="preserve"> la </w:t>
      </w:r>
      <w:r w:rsidR="007B5270" w:rsidRPr="00455681">
        <w:rPr>
          <w:rFonts w:ascii="Century Gothic" w:hAnsi="Century Gothic"/>
          <w:i/>
          <w:iCs/>
          <w:color w:val="FF0000"/>
        </w:rPr>
        <w:t>M</w:t>
      </w:r>
      <w:r w:rsidR="006262AF" w:rsidRPr="00455681">
        <w:rPr>
          <w:rFonts w:ascii="Century Gothic" w:hAnsi="Century Gothic"/>
          <w:i/>
          <w:iCs/>
          <w:color w:val="FF0000"/>
        </w:rPr>
        <w:t xml:space="preserve">emoria de </w:t>
      </w:r>
      <w:r w:rsidR="00455681" w:rsidRPr="00455681">
        <w:rPr>
          <w:rFonts w:ascii="Century Gothic" w:hAnsi="Century Gothic"/>
          <w:i/>
          <w:iCs/>
          <w:color w:val="FF0000"/>
        </w:rPr>
        <w:t>M</w:t>
      </w:r>
      <w:r w:rsidR="00B70586" w:rsidRPr="00455681">
        <w:rPr>
          <w:rFonts w:ascii="Century Gothic" w:hAnsi="Century Gothic"/>
          <w:i/>
          <w:iCs/>
          <w:color w:val="FF0000"/>
        </w:rPr>
        <w:t>étodos</w:t>
      </w:r>
      <w:r w:rsidR="007B5270">
        <w:rPr>
          <w:rFonts w:ascii="Century Gothic" w:hAnsi="Century Gothic"/>
          <w:color w:val="FF0000"/>
        </w:rPr>
        <w:t xml:space="preserve"> presentada por el autorizado</w:t>
      </w:r>
      <w:r w:rsidR="003D09B0">
        <w:rPr>
          <w:rFonts w:ascii="Century Gothic" w:hAnsi="Century Gothic"/>
          <w:color w:val="FF0000"/>
        </w:rPr>
        <w:t xml:space="preserve"> y cuyo contenido se detalla en el Anexo II-STS del presente PCP, así como</w:t>
      </w:r>
      <w:r w:rsidR="006262AF" w:rsidRPr="00192744">
        <w:rPr>
          <w:rFonts w:ascii="Century Gothic" w:hAnsi="Century Gothic"/>
          <w:color w:val="FF0000"/>
        </w:rPr>
        <w:t xml:space="preserve"> de la disponibilidad de puntos de atraque, determinará las condiciones de estancia, respecto al lugar de atraque o fondeo de los buques de suministro en los periodos de inactividad.</w:t>
      </w:r>
    </w:p>
    <w:bookmarkEnd w:id="5"/>
    <w:p w14:paraId="577850C3" w14:textId="3FCBAB6D" w:rsidR="006262AF" w:rsidRPr="004C53D6" w:rsidRDefault="00192744" w:rsidP="003B5F4D">
      <w:pPr>
        <w:pStyle w:val="Prrafodelista"/>
        <w:tabs>
          <w:tab w:val="left" w:pos="1140"/>
        </w:tabs>
        <w:ind w:left="1134"/>
        <w:jc w:val="both"/>
        <w:rPr>
          <w:rFonts w:ascii="Century Gothic" w:hAnsi="Century Gothic"/>
          <w:color w:val="FF0000"/>
        </w:rPr>
      </w:pPr>
      <w:r>
        <w:rPr>
          <w:rFonts w:ascii="Century Gothic" w:hAnsi="Century Gothic"/>
          <w:color w:val="FF0000"/>
        </w:rPr>
        <w:t>1.</w:t>
      </w:r>
      <w:r w:rsidRPr="00192744">
        <w:rPr>
          <w:rFonts w:ascii="Century Gothic" w:hAnsi="Century Gothic"/>
          <w:color w:val="FF0000"/>
        </w:rPr>
        <w:t xml:space="preserve">2. </w:t>
      </w:r>
      <w:r w:rsidR="00DB0B5D">
        <w:rPr>
          <w:rFonts w:ascii="Century Gothic" w:hAnsi="Century Gothic"/>
          <w:color w:val="FF0000"/>
        </w:rPr>
        <w:t>Buque suministrador s</w:t>
      </w:r>
      <w:r w:rsidR="006262AF" w:rsidRPr="00192744">
        <w:rPr>
          <w:rFonts w:ascii="Century Gothic" w:hAnsi="Century Gothic"/>
          <w:color w:val="FF0000"/>
        </w:rPr>
        <w:t xml:space="preserve">in base en puerto: </w:t>
      </w:r>
      <w:r w:rsidR="00455681">
        <w:rPr>
          <w:rFonts w:ascii="Century Gothic" w:hAnsi="Century Gothic"/>
          <w:color w:val="FF0000"/>
        </w:rPr>
        <w:t>Cuando el</w:t>
      </w:r>
      <w:r w:rsidR="006262AF" w:rsidRPr="00192744">
        <w:rPr>
          <w:rFonts w:ascii="Century Gothic" w:hAnsi="Century Gothic"/>
          <w:color w:val="FF0000"/>
        </w:rPr>
        <w:t xml:space="preserve"> buque de suministro efectúe las escalas puntuales por el tiempo necesario para avituallar un buque receptor determinado, incluyendo, en su caso, las operaciones de carga del producto a suministrar en la terminal</w:t>
      </w:r>
      <w:r w:rsidR="006262AF" w:rsidRPr="004C53D6">
        <w:rPr>
          <w:rFonts w:ascii="Century Gothic" w:hAnsi="Century Gothic"/>
          <w:color w:val="FF0000"/>
        </w:rPr>
        <w:t>, sin que, por regla general, se requiera una estancia en otros muelles de atraque.</w:t>
      </w:r>
    </w:p>
    <w:p w14:paraId="2A7A738A" w14:textId="1B88FAB2" w:rsidR="00FE7CCD" w:rsidRPr="00FE7CCD" w:rsidRDefault="00192744" w:rsidP="00FE7CCD">
      <w:pPr>
        <w:tabs>
          <w:tab w:val="left" w:pos="1140"/>
        </w:tabs>
        <w:jc w:val="both"/>
        <w:rPr>
          <w:rFonts w:ascii="Century Gothic" w:hAnsi="Century Gothic"/>
          <w:color w:val="FF0000"/>
        </w:rPr>
      </w:pPr>
      <w:r>
        <w:rPr>
          <w:rFonts w:ascii="Century Gothic" w:hAnsi="Century Gothic"/>
          <w:color w:val="FF0000"/>
        </w:rPr>
        <w:t xml:space="preserve">2. </w:t>
      </w:r>
      <w:r w:rsidR="00FE7CCD" w:rsidRPr="00FE7CCD">
        <w:rPr>
          <w:rFonts w:ascii="Century Gothic" w:hAnsi="Century Gothic"/>
          <w:color w:val="FF0000"/>
        </w:rPr>
        <w:t xml:space="preserve">Suministro de GNL mediante camión </w:t>
      </w:r>
      <w:r w:rsidR="00704EE9">
        <w:rPr>
          <w:rFonts w:ascii="Century Gothic" w:hAnsi="Century Gothic"/>
          <w:color w:val="FF0000"/>
        </w:rPr>
        <w:t xml:space="preserve">cisterna </w:t>
      </w:r>
      <w:r w:rsidR="00FE7CCD" w:rsidRPr="00FE7CCD">
        <w:rPr>
          <w:rFonts w:ascii="Century Gothic" w:hAnsi="Century Gothic"/>
          <w:color w:val="FF0000"/>
        </w:rPr>
        <w:t>a buque (TTS</w:t>
      </w:r>
      <w:r w:rsidR="007F4F3E">
        <w:rPr>
          <w:rFonts w:ascii="Century Gothic" w:hAnsi="Century Gothic"/>
          <w:color w:val="FF0000"/>
        </w:rPr>
        <w:t>/MTTS</w:t>
      </w:r>
      <w:r w:rsidR="00FE7CCD" w:rsidRPr="00FE7CCD">
        <w:rPr>
          <w:rFonts w:ascii="Century Gothic" w:hAnsi="Century Gothic"/>
          <w:color w:val="FF0000"/>
        </w:rPr>
        <w:t>): Camión</w:t>
      </w:r>
      <w:r w:rsidR="002B7EA7">
        <w:rPr>
          <w:rFonts w:ascii="Century Gothic" w:hAnsi="Century Gothic"/>
          <w:color w:val="FF0000"/>
        </w:rPr>
        <w:t xml:space="preserve"> cisterna</w:t>
      </w:r>
      <w:r w:rsidR="00FE7CCD" w:rsidRPr="00FE7CCD">
        <w:rPr>
          <w:rFonts w:ascii="Century Gothic" w:hAnsi="Century Gothic"/>
          <w:color w:val="FF0000"/>
        </w:rPr>
        <w:t xml:space="preserve"> suministrador, buque receptor y terminal.</w:t>
      </w:r>
    </w:p>
    <w:p w14:paraId="2770DD7B" w14:textId="06E934E4" w:rsidR="00FE7CCD" w:rsidRDefault="00192744" w:rsidP="00FE7CCD">
      <w:pPr>
        <w:tabs>
          <w:tab w:val="left" w:pos="1140"/>
        </w:tabs>
        <w:jc w:val="both"/>
        <w:rPr>
          <w:rFonts w:ascii="Century Gothic" w:hAnsi="Century Gothic"/>
          <w:color w:val="FF0000"/>
        </w:rPr>
      </w:pPr>
      <w:r>
        <w:rPr>
          <w:rFonts w:ascii="Century Gothic" w:hAnsi="Century Gothic"/>
          <w:color w:val="FF0000"/>
        </w:rPr>
        <w:t xml:space="preserve">3. </w:t>
      </w:r>
      <w:r w:rsidR="00FE7CCD" w:rsidRPr="00FE7CCD">
        <w:rPr>
          <w:rFonts w:ascii="Century Gothic" w:hAnsi="Century Gothic"/>
          <w:color w:val="FF0000"/>
        </w:rPr>
        <w:t>Suministro de GNL mediante tubería a buque (PTS): Suministrad</w:t>
      </w:r>
      <w:r w:rsidR="005B2B85">
        <w:rPr>
          <w:rFonts w:ascii="Century Gothic" w:hAnsi="Century Gothic"/>
          <w:color w:val="FF0000"/>
        </w:rPr>
        <w:t>o</w:t>
      </w:r>
      <w:r w:rsidR="00FE7CCD" w:rsidRPr="00FE7CCD">
        <w:rPr>
          <w:rFonts w:ascii="Century Gothic" w:hAnsi="Century Gothic"/>
          <w:color w:val="FF0000"/>
        </w:rPr>
        <w:t>r, buque receptor y Terminal (si es distinta del suministrador).</w:t>
      </w:r>
    </w:p>
    <w:p w14:paraId="05D72936" w14:textId="5897834B" w:rsidR="001C6071" w:rsidRPr="004C53D6" w:rsidRDefault="00192744" w:rsidP="004C53D6">
      <w:pPr>
        <w:tabs>
          <w:tab w:val="left" w:pos="1140"/>
        </w:tabs>
        <w:jc w:val="both"/>
        <w:rPr>
          <w:rFonts w:ascii="Century Gothic" w:hAnsi="Century Gothic"/>
          <w:color w:val="FF0000"/>
        </w:rPr>
      </w:pPr>
      <w:r>
        <w:rPr>
          <w:rFonts w:ascii="Century Gothic" w:hAnsi="Century Gothic"/>
          <w:color w:val="FF0000"/>
        </w:rPr>
        <w:t>L</w:t>
      </w:r>
      <w:r w:rsidR="001C6071" w:rsidRPr="004C53D6">
        <w:rPr>
          <w:rFonts w:ascii="Century Gothic" w:hAnsi="Century Gothic"/>
          <w:color w:val="FF0000"/>
        </w:rPr>
        <w:t xml:space="preserve">a planta de regasificación ubicada en el puerto de </w:t>
      </w:r>
      <w:r>
        <w:rPr>
          <w:rFonts w:ascii="Century Gothic" w:hAnsi="Century Gothic"/>
          <w:color w:val="FF0000"/>
        </w:rPr>
        <w:t>XXX</w:t>
      </w:r>
      <w:r w:rsidR="001C6071" w:rsidRPr="004C53D6">
        <w:rPr>
          <w:rFonts w:ascii="Century Gothic" w:hAnsi="Century Gothic"/>
          <w:color w:val="FF0000"/>
        </w:rPr>
        <w:t xml:space="preserve"> puede ser considerada dentro de la modalidad PTS. Para esta modalidad de servicio PTS se valorará caso por caso en qué condiciones técnicas pueden llevarse a cabo, con especial atención a las limitaciones que pueda haber por tipo de buque, tamaño y su condición de carga o pasaje, así como, la necesidad de llevar a cabo estudios de compatibilidad en cada caso. Si la operación de PTS se prevé realizar en atraques que dan servicio a una planta de regasificación, el otorgamiento de estas autorizaciones deberá ser compatible y conforme a lo establecido en la regulación del sistema gasista</w:t>
      </w:r>
      <w:r w:rsidR="001B22B2">
        <w:rPr>
          <w:rFonts w:ascii="Century Gothic" w:hAnsi="Century Gothic"/>
          <w:color w:val="FF0000"/>
        </w:rPr>
        <w:t>, en</w:t>
      </w:r>
      <w:r w:rsidR="00CD0B6C">
        <w:rPr>
          <w:rFonts w:ascii="Century Gothic" w:hAnsi="Century Gothic"/>
          <w:color w:val="FF0000"/>
        </w:rPr>
        <w:t>tre</w:t>
      </w:r>
      <w:r w:rsidR="001B22B2">
        <w:rPr>
          <w:rFonts w:ascii="Century Gothic" w:hAnsi="Century Gothic"/>
          <w:color w:val="FF0000"/>
        </w:rPr>
        <w:t xml:space="preserve"> otr</w:t>
      </w:r>
      <w:r w:rsidR="009308EE">
        <w:rPr>
          <w:rFonts w:ascii="Century Gothic" w:hAnsi="Century Gothic"/>
          <w:color w:val="FF0000"/>
        </w:rPr>
        <w:t>a</w:t>
      </w:r>
      <w:r w:rsidR="001B22B2">
        <w:rPr>
          <w:rFonts w:ascii="Century Gothic" w:hAnsi="Century Gothic"/>
          <w:color w:val="FF0000"/>
        </w:rPr>
        <w:t>s,</w:t>
      </w:r>
      <w:r w:rsidR="001C6071" w:rsidRPr="004C53D6">
        <w:rPr>
          <w:rFonts w:ascii="Century Gothic" w:hAnsi="Century Gothic"/>
          <w:color w:val="FF0000"/>
        </w:rPr>
        <w:t xml:space="preserve"> en relación con la contratación y programación de operaciones.</w:t>
      </w:r>
    </w:p>
    <w:p w14:paraId="74C97D46" w14:textId="77777777" w:rsidR="009B72B7" w:rsidRDefault="009B72B7" w:rsidP="00192744">
      <w:pPr>
        <w:tabs>
          <w:tab w:val="left" w:pos="1140"/>
        </w:tabs>
        <w:jc w:val="both"/>
        <w:rPr>
          <w:rFonts w:ascii="Century Gothic" w:hAnsi="Century Gothic"/>
        </w:rPr>
      </w:pPr>
    </w:p>
    <w:p w14:paraId="3647649D" w14:textId="347E8538" w:rsidR="00192744" w:rsidRPr="004C53D6" w:rsidRDefault="00192744" w:rsidP="00192744">
      <w:pPr>
        <w:tabs>
          <w:tab w:val="left" w:pos="1140"/>
        </w:tabs>
        <w:jc w:val="both"/>
        <w:rPr>
          <w:rFonts w:ascii="Century Gothic" w:hAnsi="Century Gothic"/>
        </w:rPr>
      </w:pPr>
      <w:r w:rsidRPr="004C53D6">
        <w:rPr>
          <w:rFonts w:ascii="Century Gothic" w:hAnsi="Century Gothic"/>
        </w:rPr>
        <w:t>Quedan excluidos del alcance de este pliego los servicios</w:t>
      </w:r>
      <w:r w:rsidR="00704EE9">
        <w:rPr>
          <w:rFonts w:ascii="Century Gothic" w:hAnsi="Century Gothic"/>
        </w:rPr>
        <w:t xml:space="preserve"> que no </w:t>
      </w:r>
      <w:r w:rsidR="00F941E2">
        <w:rPr>
          <w:rFonts w:ascii="Century Gothic" w:hAnsi="Century Gothic"/>
        </w:rPr>
        <w:t>incluyan el</w:t>
      </w:r>
      <w:r w:rsidR="00704EE9">
        <w:rPr>
          <w:rFonts w:ascii="Century Gothic" w:hAnsi="Century Gothic"/>
        </w:rPr>
        <w:t xml:space="preserve"> trasiego o bombeo de combustible, tales como</w:t>
      </w:r>
      <w:r w:rsidRPr="004C53D6">
        <w:rPr>
          <w:rFonts w:ascii="Century Gothic" w:hAnsi="Century Gothic"/>
        </w:rPr>
        <w:t>:</w:t>
      </w:r>
    </w:p>
    <w:p w14:paraId="6BEBBA91" w14:textId="77777777" w:rsidR="00192744" w:rsidRPr="004C53D6" w:rsidRDefault="00192744" w:rsidP="006965D8">
      <w:pPr>
        <w:numPr>
          <w:ilvl w:val="0"/>
          <w:numId w:val="14"/>
        </w:numPr>
        <w:tabs>
          <w:tab w:val="left" w:pos="1140"/>
        </w:tabs>
        <w:jc w:val="both"/>
        <w:rPr>
          <w:rFonts w:ascii="Century Gothic" w:hAnsi="Century Gothic"/>
        </w:rPr>
      </w:pPr>
      <w:r w:rsidRPr="004C53D6">
        <w:rPr>
          <w:rFonts w:ascii="Century Gothic" w:hAnsi="Century Gothic"/>
        </w:rPr>
        <w:t>Las entregas desde bidones sin bombeo.</w:t>
      </w:r>
    </w:p>
    <w:p w14:paraId="4D613D38" w14:textId="77777777" w:rsidR="00192744" w:rsidRDefault="00192744" w:rsidP="006965D8">
      <w:pPr>
        <w:numPr>
          <w:ilvl w:val="0"/>
          <w:numId w:val="14"/>
        </w:numPr>
        <w:tabs>
          <w:tab w:val="left" w:pos="1140"/>
        </w:tabs>
        <w:jc w:val="both"/>
        <w:rPr>
          <w:rFonts w:ascii="Century Gothic" w:hAnsi="Century Gothic"/>
        </w:rPr>
      </w:pPr>
      <w:r w:rsidRPr="004C53D6">
        <w:rPr>
          <w:rFonts w:ascii="Century Gothic" w:hAnsi="Century Gothic"/>
        </w:rPr>
        <w:t xml:space="preserve">Las entregas de envases </w:t>
      </w:r>
      <w:r w:rsidRPr="00B11E33">
        <w:rPr>
          <w:rFonts w:ascii="Century Gothic" w:hAnsi="Century Gothic"/>
        </w:rPr>
        <w:t>homologados y completamente cerrados.</w:t>
      </w:r>
    </w:p>
    <w:p w14:paraId="49F74EC4" w14:textId="34741D6C" w:rsidR="00055C6D" w:rsidRPr="009B72B7" w:rsidRDefault="009B72B7" w:rsidP="006965D8">
      <w:pPr>
        <w:numPr>
          <w:ilvl w:val="0"/>
          <w:numId w:val="14"/>
        </w:numPr>
        <w:tabs>
          <w:tab w:val="left" w:pos="1140"/>
        </w:tabs>
        <w:jc w:val="both"/>
        <w:rPr>
          <w:rFonts w:cs="Arial"/>
          <w:sz w:val="23"/>
        </w:rPr>
      </w:pPr>
      <w:r w:rsidRPr="009B72B7">
        <w:rPr>
          <w:rFonts w:ascii="Century Gothic" w:hAnsi="Century Gothic"/>
        </w:rPr>
        <w:t>Las operaciones de mantenimiento y enfriamiento de tanques del buque.</w:t>
      </w:r>
    </w:p>
    <w:p w14:paraId="76B71528" w14:textId="5C2ED921" w:rsidR="00BF7D2D" w:rsidRPr="00943628" w:rsidRDefault="00BF7D2D" w:rsidP="00BF7D2D">
      <w:pPr>
        <w:pStyle w:val="Ttulo2"/>
        <w:spacing w:line="276" w:lineRule="auto"/>
        <w:jc w:val="both"/>
        <w:rPr>
          <w:rFonts w:ascii="Century Gothic" w:hAnsi="Century Gothic"/>
        </w:rPr>
      </w:pPr>
      <w:bookmarkStart w:id="6" w:name="Prescripción_4ª:_Autorización_de_las_ope"/>
      <w:bookmarkStart w:id="7" w:name="_bookmark4"/>
      <w:bookmarkStart w:id="8" w:name="_Hlk4588905"/>
      <w:bookmarkStart w:id="9" w:name="_Toc230677700"/>
      <w:bookmarkEnd w:id="4"/>
      <w:bookmarkEnd w:id="6"/>
      <w:bookmarkEnd w:id="7"/>
      <w:r w:rsidRPr="009E2A4D">
        <w:rPr>
          <w:rFonts w:ascii="Century Gothic" w:hAnsi="Century Gothic" w:cstheme="minorHAnsi"/>
        </w:rPr>
        <w:lastRenderedPageBreak/>
        <w:t xml:space="preserve">Condición 3ª: </w:t>
      </w:r>
      <w:r w:rsidRPr="00943628">
        <w:rPr>
          <w:rFonts w:ascii="Century Gothic" w:hAnsi="Century Gothic" w:cstheme="minorHAnsi"/>
        </w:rPr>
        <w:t>Ámbito geográfico</w:t>
      </w:r>
      <w:bookmarkEnd w:id="9"/>
    </w:p>
    <w:p w14:paraId="3A0C24C9" w14:textId="77777777" w:rsidR="00F56908" w:rsidRPr="00943628" w:rsidRDefault="00F56908" w:rsidP="001C6CB3"/>
    <w:p w14:paraId="1796FEDD" w14:textId="29443681" w:rsidR="00BF7D2D" w:rsidRPr="00943628" w:rsidRDefault="00BF7D2D" w:rsidP="006965D8">
      <w:pPr>
        <w:pStyle w:val="Prrafodelista"/>
        <w:numPr>
          <w:ilvl w:val="0"/>
          <w:numId w:val="12"/>
        </w:numPr>
        <w:spacing w:line="276" w:lineRule="auto"/>
        <w:ind w:left="0" w:firstLine="426"/>
        <w:jc w:val="both"/>
        <w:rPr>
          <w:rFonts w:ascii="Century Gothic" w:hAnsi="Century Gothic" w:cstheme="minorHAnsi"/>
        </w:rPr>
      </w:pPr>
      <w:bookmarkStart w:id="10" w:name="_Prescripción_4ª:_Modificación"/>
      <w:bookmarkEnd w:id="8"/>
      <w:bookmarkEnd w:id="10"/>
      <w:r w:rsidRPr="00943628">
        <w:rPr>
          <w:rFonts w:ascii="Century Gothic" w:hAnsi="Century Gothic" w:cstheme="minorHAnsi"/>
        </w:rPr>
        <w:t xml:space="preserve">El ámbito geográfico de prestación del servicio es el área portuaria delimitada por la zona de servicio del puerto de </w:t>
      </w:r>
      <w:r w:rsidRPr="00943628">
        <w:rPr>
          <w:rFonts w:ascii="Century Gothic" w:hAnsi="Century Gothic" w:cstheme="minorHAnsi"/>
          <w:color w:val="FF0000"/>
        </w:rPr>
        <w:t>XXXXX</w:t>
      </w:r>
      <w:r w:rsidRPr="00943628">
        <w:rPr>
          <w:rFonts w:ascii="Century Gothic" w:hAnsi="Century Gothic"/>
          <w:b/>
        </w:rPr>
        <w:t xml:space="preserve"> </w:t>
      </w:r>
      <w:r w:rsidRPr="00943628">
        <w:rPr>
          <w:rFonts w:ascii="Century Gothic" w:hAnsi="Century Gothic" w:cstheme="minorHAnsi"/>
        </w:rPr>
        <w:t xml:space="preserve">vigente en el momento de aprobación de este PCP, según figura en la Delimitación de los Espacios y Usos Portuarios aprobada por Orden </w:t>
      </w:r>
      <w:r w:rsidRPr="00943628">
        <w:rPr>
          <w:rFonts w:ascii="Century Gothic" w:hAnsi="Century Gothic" w:cstheme="minorHAnsi"/>
          <w:color w:val="FF0000"/>
        </w:rPr>
        <w:t xml:space="preserve">XXXXX, </w:t>
      </w:r>
      <w:r w:rsidRPr="00943628">
        <w:rPr>
          <w:rFonts w:ascii="Century Gothic" w:hAnsi="Century Gothic" w:cstheme="minorHAnsi"/>
        </w:rPr>
        <w:t xml:space="preserve">o la que le sustituya en lo sucesivo. </w:t>
      </w:r>
    </w:p>
    <w:p w14:paraId="16BC245A" w14:textId="77777777" w:rsidR="00BF7D2D" w:rsidRPr="00943628" w:rsidRDefault="00BF7D2D" w:rsidP="006965D8">
      <w:pPr>
        <w:pStyle w:val="Prrafodelista"/>
        <w:numPr>
          <w:ilvl w:val="0"/>
          <w:numId w:val="12"/>
        </w:numPr>
        <w:spacing w:line="276" w:lineRule="auto"/>
        <w:ind w:left="0" w:firstLine="426"/>
        <w:jc w:val="both"/>
        <w:rPr>
          <w:rFonts w:ascii="Century Gothic" w:hAnsi="Century Gothic" w:cstheme="minorHAnsi"/>
        </w:rPr>
      </w:pPr>
      <w:r w:rsidRPr="00943628">
        <w:rPr>
          <w:rFonts w:ascii="Century Gothic" w:hAnsi="Century Gothic" w:cstheme="minorHAnsi"/>
        </w:rPr>
        <w:t>En el caso de modificaciones de la zona de servicio, se entenderá que quedan incorporadas automáticamente al ámbito geográfico de prestación del servicio tras su comunicación oficial a los prestadores.</w:t>
      </w:r>
    </w:p>
    <w:p w14:paraId="7393005E" w14:textId="77777777" w:rsidR="00AE295D" w:rsidRDefault="00AE295D" w:rsidP="00AE295D">
      <w:pPr>
        <w:spacing w:line="276" w:lineRule="auto"/>
        <w:jc w:val="both"/>
        <w:rPr>
          <w:rFonts w:ascii="Century Gothic" w:hAnsi="Century Gothic" w:cstheme="minorHAnsi"/>
        </w:rPr>
      </w:pPr>
      <w:r w:rsidRPr="00943628">
        <w:rPr>
          <w:rFonts w:ascii="Century Gothic" w:hAnsi="Century Gothic" w:cstheme="minorHAnsi"/>
          <w:color w:val="FF0000"/>
        </w:rPr>
        <w:t>(Esta condición ha de particularizarse por la</w:t>
      </w:r>
      <w:r w:rsidRPr="00F37B3C">
        <w:rPr>
          <w:rFonts w:ascii="Century Gothic" w:hAnsi="Century Gothic" w:cstheme="minorHAnsi"/>
          <w:color w:val="FF0000"/>
        </w:rPr>
        <w:t xml:space="preserve"> Autoridad Portuaria en caso de que la </w:t>
      </w:r>
      <w:r w:rsidRPr="00A25218">
        <w:rPr>
          <w:rFonts w:ascii="Century Gothic" w:hAnsi="Century Gothic" w:cstheme="minorHAnsi"/>
          <w:color w:val="FF0000"/>
        </w:rPr>
        <w:t>prestación se realice en un ámbito limitado de la zona de servicio del puerto).</w:t>
      </w:r>
      <w:r w:rsidRPr="00A25218" w:rsidDel="00FA7FA3">
        <w:rPr>
          <w:rFonts w:ascii="Century Gothic" w:hAnsi="Century Gothic" w:cstheme="minorHAnsi"/>
        </w:rPr>
        <w:t xml:space="preserve"> </w:t>
      </w:r>
      <w:r w:rsidRPr="00A25218">
        <w:rPr>
          <w:rFonts w:ascii="Century Gothic" w:hAnsi="Century Gothic" w:cstheme="minorHAnsi"/>
        </w:rPr>
        <w:t xml:space="preserve"> </w:t>
      </w:r>
    </w:p>
    <w:p w14:paraId="479E82E4" w14:textId="77777777" w:rsidR="0014521A" w:rsidRPr="00A25218" w:rsidRDefault="0014521A" w:rsidP="00AE295D">
      <w:pPr>
        <w:spacing w:line="276" w:lineRule="auto"/>
        <w:jc w:val="both"/>
        <w:rPr>
          <w:rFonts w:ascii="Century Gothic" w:hAnsi="Century Gothic" w:cstheme="minorHAnsi"/>
        </w:rPr>
      </w:pPr>
    </w:p>
    <w:p w14:paraId="30EE7B47" w14:textId="56F4816E" w:rsidR="00A017CA" w:rsidRPr="00F062F1" w:rsidRDefault="00E96ED3" w:rsidP="001E2C7D">
      <w:pPr>
        <w:pStyle w:val="Ttulo2"/>
        <w:spacing w:line="276" w:lineRule="auto"/>
        <w:jc w:val="both"/>
        <w:rPr>
          <w:rFonts w:ascii="Century Gothic" w:hAnsi="Century Gothic" w:cstheme="minorHAnsi"/>
        </w:rPr>
      </w:pPr>
      <w:bookmarkStart w:id="11" w:name="_Toc230677701"/>
      <w:r>
        <w:rPr>
          <w:rFonts w:ascii="Century Gothic" w:hAnsi="Century Gothic" w:cstheme="minorHAnsi"/>
        </w:rPr>
        <w:t>Condición</w:t>
      </w:r>
      <w:r w:rsidR="00A017CA" w:rsidRPr="00F062F1">
        <w:rPr>
          <w:rFonts w:ascii="Century Gothic" w:hAnsi="Century Gothic" w:cstheme="minorHAnsi"/>
        </w:rPr>
        <w:t xml:space="preserve"> </w:t>
      </w:r>
      <w:r w:rsidR="00EC0D15">
        <w:rPr>
          <w:rFonts w:ascii="Century Gothic" w:hAnsi="Century Gothic" w:cstheme="minorHAnsi"/>
        </w:rPr>
        <w:t>4</w:t>
      </w:r>
      <w:r w:rsidR="00A017CA" w:rsidRPr="00F062F1">
        <w:rPr>
          <w:rFonts w:ascii="Century Gothic" w:hAnsi="Century Gothic" w:cstheme="minorHAnsi"/>
        </w:rPr>
        <w:t>ª: Plazo</w:t>
      </w:r>
      <w:r w:rsidR="00302E74" w:rsidRPr="00F062F1">
        <w:rPr>
          <w:rFonts w:ascii="Century Gothic" w:hAnsi="Century Gothic" w:cstheme="minorHAnsi"/>
        </w:rPr>
        <w:t xml:space="preserve"> </w:t>
      </w:r>
      <w:r w:rsidR="0078553D">
        <w:rPr>
          <w:rFonts w:ascii="Century Gothic" w:hAnsi="Century Gothic" w:cstheme="minorHAnsi"/>
        </w:rPr>
        <w:t>de</w:t>
      </w:r>
      <w:r w:rsidR="000B41A8">
        <w:rPr>
          <w:rFonts w:ascii="Century Gothic" w:hAnsi="Century Gothic" w:cstheme="minorHAnsi"/>
        </w:rPr>
        <w:t xml:space="preserve"> vigencia de</w:t>
      </w:r>
      <w:r w:rsidR="0078553D">
        <w:rPr>
          <w:rFonts w:ascii="Century Gothic" w:hAnsi="Century Gothic" w:cstheme="minorHAnsi"/>
        </w:rPr>
        <w:t xml:space="preserve"> las autorizaciones</w:t>
      </w:r>
      <w:bookmarkEnd w:id="11"/>
    </w:p>
    <w:p w14:paraId="1CC07700" w14:textId="02C18752" w:rsidR="00BD6A0A" w:rsidRDefault="00794056" w:rsidP="001E2C7D">
      <w:pPr>
        <w:spacing w:before="240" w:after="240" w:line="276" w:lineRule="auto"/>
        <w:jc w:val="both"/>
        <w:rPr>
          <w:rFonts w:ascii="Century Gothic" w:hAnsi="Century Gothic" w:cstheme="minorHAnsi"/>
          <w:color w:val="FF0000"/>
        </w:rPr>
      </w:pPr>
      <w:bookmarkStart w:id="12" w:name="_Hlk1724335"/>
      <w:r>
        <w:rPr>
          <w:rFonts w:ascii="Century Gothic" w:hAnsi="Century Gothic" w:cstheme="minorHAnsi"/>
        </w:rPr>
        <w:t>E</w:t>
      </w:r>
      <w:r w:rsidR="0001570B" w:rsidRPr="0001570B">
        <w:rPr>
          <w:rFonts w:ascii="Century Gothic" w:hAnsi="Century Gothic" w:cstheme="minorHAnsi"/>
        </w:rPr>
        <w:t xml:space="preserve">l plazo </w:t>
      </w:r>
      <w:r>
        <w:rPr>
          <w:rFonts w:ascii="Century Gothic" w:hAnsi="Century Gothic" w:cstheme="minorHAnsi"/>
        </w:rPr>
        <w:t xml:space="preserve">máximo </w:t>
      </w:r>
      <w:r w:rsidR="0001570B" w:rsidRPr="0001570B">
        <w:rPr>
          <w:rFonts w:ascii="Century Gothic" w:hAnsi="Century Gothic" w:cstheme="minorHAnsi"/>
        </w:rPr>
        <w:t xml:space="preserve">de vigencia de </w:t>
      </w:r>
      <w:r w:rsidR="0001570B">
        <w:rPr>
          <w:rFonts w:ascii="Century Gothic" w:hAnsi="Century Gothic" w:cstheme="minorHAnsi"/>
        </w:rPr>
        <w:t>las autorizaciones</w:t>
      </w:r>
      <w:r w:rsidR="00AC1123">
        <w:rPr>
          <w:rFonts w:ascii="Century Gothic" w:hAnsi="Century Gothic" w:cstheme="minorHAnsi"/>
        </w:rPr>
        <w:t xml:space="preserve"> (título habilitante</w:t>
      </w:r>
      <w:r w:rsidR="009A0D16">
        <w:rPr>
          <w:rFonts w:ascii="Century Gothic" w:hAnsi="Century Gothic" w:cstheme="minorHAnsi"/>
        </w:rPr>
        <w:t xml:space="preserve"> de servicio comercial</w:t>
      </w:r>
      <w:r w:rsidR="00AC1123">
        <w:rPr>
          <w:rFonts w:ascii="Century Gothic" w:hAnsi="Century Gothic" w:cstheme="minorHAnsi"/>
        </w:rPr>
        <w:t>)</w:t>
      </w:r>
      <w:r w:rsidR="0001570B" w:rsidRPr="0001570B">
        <w:rPr>
          <w:rFonts w:ascii="Century Gothic" w:hAnsi="Century Gothic" w:cstheme="minorHAnsi"/>
        </w:rPr>
        <w:t xml:space="preserve"> </w:t>
      </w:r>
      <w:r w:rsidR="007B4796">
        <w:rPr>
          <w:rFonts w:ascii="Century Gothic" w:hAnsi="Century Gothic" w:cstheme="minorHAnsi"/>
        </w:rPr>
        <w:t>para la prestación del servicio de suministro de</w:t>
      </w:r>
      <w:r w:rsidR="00C35F8B">
        <w:rPr>
          <w:rFonts w:ascii="Century Gothic" w:hAnsi="Century Gothic" w:cstheme="minorHAnsi"/>
        </w:rPr>
        <w:t xml:space="preserve"> GNL</w:t>
      </w:r>
      <w:r w:rsidR="007B4796">
        <w:rPr>
          <w:rFonts w:ascii="Century Gothic" w:hAnsi="Century Gothic" w:cstheme="minorHAnsi"/>
        </w:rPr>
        <w:t xml:space="preserve"> a buques </w:t>
      </w:r>
      <w:r w:rsidR="0001570B" w:rsidRPr="0001570B">
        <w:rPr>
          <w:rFonts w:ascii="Century Gothic" w:hAnsi="Century Gothic" w:cstheme="minorHAnsi"/>
        </w:rPr>
        <w:t xml:space="preserve">será </w:t>
      </w:r>
      <w:r w:rsidRPr="00794056">
        <w:rPr>
          <w:rFonts w:ascii="Century Gothic" w:hAnsi="Century Gothic" w:cstheme="minorHAnsi"/>
        </w:rPr>
        <w:t>de</w:t>
      </w:r>
      <w:r>
        <w:rPr>
          <w:rFonts w:ascii="Century Gothic" w:hAnsi="Century Gothic" w:cstheme="minorHAnsi"/>
        </w:rPr>
        <w:t xml:space="preserve"> </w:t>
      </w:r>
      <w:r w:rsidRPr="003E366C">
        <w:rPr>
          <w:rFonts w:ascii="Century Gothic" w:hAnsi="Century Gothic" w:cstheme="minorHAnsi"/>
          <w:color w:val="FF0000"/>
        </w:rPr>
        <w:t>6</w:t>
      </w:r>
      <w:r>
        <w:rPr>
          <w:rFonts w:ascii="Century Gothic" w:hAnsi="Century Gothic" w:cstheme="minorHAnsi"/>
        </w:rPr>
        <w:t xml:space="preserve"> años </w:t>
      </w:r>
      <w:r w:rsidRPr="003E366C">
        <w:rPr>
          <w:rFonts w:ascii="Century Gothic" w:hAnsi="Century Gothic" w:cstheme="minorHAnsi"/>
          <w:color w:val="FF0000"/>
        </w:rPr>
        <w:t>(</w:t>
      </w:r>
      <w:r>
        <w:rPr>
          <w:rFonts w:ascii="Century Gothic" w:hAnsi="Century Gothic" w:cstheme="minorHAnsi"/>
          <w:color w:val="FF0000"/>
        </w:rPr>
        <w:t>plazo de vigencia estándar</w:t>
      </w:r>
      <w:r w:rsidR="00976484">
        <w:rPr>
          <w:rFonts w:ascii="Century Gothic" w:hAnsi="Century Gothic" w:cstheme="minorHAnsi"/>
          <w:color w:val="FF0000"/>
        </w:rPr>
        <w:t>, a particularizar por la Autoridad Portuaria</w:t>
      </w:r>
      <w:r>
        <w:rPr>
          <w:rFonts w:ascii="Century Gothic" w:hAnsi="Century Gothic" w:cstheme="minorHAnsi"/>
          <w:color w:val="FF0000"/>
        </w:rPr>
        <w:t>).</w:t>
      </w:r>
      <w:bookmarkEnd w:id="12"/>
    </w:p>
    <w:p w14:paraId="74388E98" w14:textId="076A2FF2" w:rsidR="00AC1123" w:rsidRDefault="00AC1123" w:rsidP="001E2C7D">
      <w:pPr>
        <w:spacing w:before="240" w:after="240" w:line="276" w:lineRule="auto"/>
        <w:jc w:val="both"/>
        <w:rPr>
          <w:rFonts w:ascii="Century Gothic" w:hAnsi="Century Gothic" w:cstheme="minorHAnsi"/>
        </w:rPr>
      </w:pPr>
      <w:r w:rsidRPr="00AC1123">
        <w:rPr>
          <w:rFonts w:ascii="Century Gothic" w:hAnsi="Century Gothic" w:cstheme="minorHAnsi"/>
        </w:rPr>
        <w:t xml:space="preserve">En el caso de las </w:t>
      </w:r>
      <w:r w:rsidR="00540FA7">
        <w:rPr>
          <w:rFonts w:ascii="Century Gothic" w:hAnsi="Century Gothic" w:cstheme="minorHAnsi"/>
        </w:rPr>
        <w:t>v</w:t>
      </w:r>
      <w:r w:rsidR="0028672A">
        <w:rPr>
          <w:rFonts w:ascii="Century Gothic" w:hAnsi="Century Gothic" w:cstheme="minorHAnsi"/>
        </w:rPr>
        <w:t xml:space="preserve">alidaciones </w:t>
      </w:r>
      <w:r w:rsidRPr="00AC1123">
        <w:rPr>
          <w:rFonts w:ascii="Century Gothic" w:hAnsi="Century Gothic" w:cstheme="minorHAnsi"/>
        </w:rPr>
        <w:t>técnicas de suministro</w:t>
      </w:r>
      <w:r w:rsidR="009A0D16">
        <w:rPr>
          <w:rFonts w:ascii="Century Gothic" w:hAnsi="Century Gothic" w:cstheme="minorHAnsi"/>
        </w:rPr>
        <w:t xml:space="preserve"> asociadas a cada título habilitante otorgado conforme al párrafo anterior</w:t>
      </w:r>
      <w:r w:rsidR="008701A3">
        <w:rPr>
          <w:rFonts w:ascii="Century Gothic" w:hAnsi="Century Gothic" w:cstheme="minorHAnsi"/>
        </w:rPr>
        <w:t>:</w:t>
      </w:r>
      <w:r w:rsidRPr="00AC1123">
        <w:rPr>
          <w:rFonts w:ascii="Century Gothic" w:hAnsi="Century Gothic" w:cstheme="minorHAnsi"/>
        </w:rPr>
        <w:t xml:space="preserve"> </w:t>
      </w:r>
      <w:r w:rsidRPr="008701A3">
        <w:rPr>
          <w:rFonts w:ascii="Century Gothic" w:hAnsi="Century Gothic" w:cstheme="minorHAnsi"/>
          <w:color w:val="FF0000"/>
        </w:rPr>
        <w:t>(a particularizar por la Autoridad Portuaria</w:t>
      </w:r>
      <w:r w:rsidR="009A0D16">
        <w:rPr>
          <w:rFonts w:ascii="Century Gothic" w:hAnsi="Century Gothic" w:cstheme="minorHAnsi"/>
          <w:color w:val="FF0000"/>
        </w:rPr>
        <w:t xml:space="preserve"> en función de las características del suministro y las condiciones </w:t>
      </w:r>
      <w:r w:rsidR="002E51A2">
        <w:rPr>
          <w:rFonts w:ascii="Century Gothic" w:hAnsi="Century Gothic" w:cstheme="minorHAnsi"/>
          <w:color w:val="FF0000"/>
        </w:rPr>
        <w:t xml:space="preserve">técnicas </w:t>
      </w:r>
      <w:r w:rsidR="009A0D16">
        <w:rPr>
          <w:rFonts w:ascii="Century Gothic" w:hAnsi="Century Gothic" w:cstheme="minorHAnsi"/>
          <w:color w:val="FF0000"/>
        </w:rPr>
        <w:t>del Anexo I del PCP</w:t>
      </w:r>
      <w:r w:rsidR="00DC3A1A">
        <w:rPr>
          <w:rFonts w:ascii="Century Gothic" w:hAnsi="Century Gothic" w:cstheme="minorHAnsi"/>
          <w:color w:val="FF0000"/>
        </w:rPr>
        <w:t>, el plazo máximo es el del título habilitante, sin exceder en ningún caso su vigencia</w:t>
      </w:r>
      <w:r w:rsidR="009A0D16">
        <w:rPr>
          <w:rFonts w:ascii="Century Gothic" w:hAnsi="Century Gothic" w:cstheme="minorHAnsi"/>
          <w:color w:val="FF0000"/>
        </w:rPr>
        <w:t>).</w:t>
      </w:r>
    </w:p>
    <w:p w14:paraId="10DE4EE4" w14:textId="61FB7A83" w:rsidR="0074045D" w:rsidRDefault="0074045D" w:rsidP="0074045D">
      <w:pPr>
        <w:spacing w:before="240" w:after="240" w:line="276" w:lineRule="auto"/>
        <w:jc w:val="both"/>
        <w:rPr>
          <w:rFonts w:ascii="Century Gothic" w:hAnsi="Century Gothic" w:cstheme="minorHAnsi"/>
        </w:rPr>
      </w:pPr>
      <w:r w:rsidRPr="0074045D">
        <w:rPr>
          <w:rFonts w:ascii="Century Gothic" w:hAnsi="Century Gothic" w:cstheme="minorHAnsi"/>
        </w:rPr>
        <w:t>C</w:t>
      </w:r>
      <w:r>
        <w:rPr>
          <w:rFonts w:ascii="Century Gothic" w:hAnsi="Century Gothic" w:cstheme="minorHAnsi"/>
        </w:rPr>
        <w:t>onforme al artículo 139.3 del TRLPEMM, c</w:t>
      </w:r>
      <w:r w:rsidRPr="0074045D">
        <w:rPr>
          <w:rFonts w:ascii="Century Gothic" w:hAnsi="Century Gothic" w:cstheme="minorHAnsi"/>
        </w:rPr>
        <w:t>uando el desarrollo de</w:t>
      </w:r>
      <w:r>
        <w:rPr>
          <w:rFonts w:ascii="Century Gothic" w:hAnsi="Century Gothic" w:cstheme="minorHAnsi"/>
        </w:rPr>
        <w:t>l</w:t>
      </w:r>
      <w:r w:rsidRPr="0074045D">
        <w:rPr>
          <w:rFonts w:ascii="Century Gothic" w:hAnsi="Century Gothic" w:cstheme="minorHAnsi"/>
        </w:rPr>
        <w:t xml:space="preserve"> servicio requiera la ocupación de bienes</w:t>
      </w:r>
      <w:r>
        <w:rPr>
          <w:rFonts w:ascii="Century Gothic" w:hAnsi="Century Gothic" w:cstheme="minorHAnsi"/>
        </w:rPr>
        <w:t xml:space="preserve"> </w:t>
      </w:r>
      <w:r w:rsidRPr="0074045D">
        <w:rPr>
          <w:rFonts w:ascii="Century Gothic" w:hAnsi="Century Gothic" w:cstheme="minorHAnsi"/>
        </w:rPr>
        <w:t>de dominio público portuario, se tramitará un solo expediente, otorgándose un único título</w:t>
      </w:r>
      <w:r>
        <w:rPr>
          <w:rFonts w:ascii="Century Gothic" w:hAnsi="Century Gothic" w:cstheme="minorHAnsi"/>
        </w:rPr>
        <w:t xml:space="preserve"> </w:t>
      </w:r>
      <w:r w:rsidRPr="0074045D">
        <w:rPr>
          <w:rFonts w:ascii="Century Gothic" w:hAnsi="Century Gothic" w:cstheme="minorHAnsi"/>
        </w:rPr>
        <w:t>administrativo en el que por el mismo plazo se autorice la actividad y la ocupación del</w:t>
      </w:r>
      <w:r>
        <w:rPr>
          <w:rFonts w:ascii="Century Gothic" w:hAnsi="Century Gothic" w:cstheme="minorHAnsi"/>
        </w:rPr>
        <w:t xml:space="preserve"> </w:t>
      </w:r>
      <w:r w:rsidRPr="0074045D">
        <w:rPr>
          <w:rFonts w:ascii="Century Gothic" w:hAnsi="Century Gothic" w:cstheme="minorHAnsi"/>
        </w:rPr>
        <w:t>dominio público portuario.</w:t>
      </w:r>
    </w:p>
    <w:p w14:paraId="77EE7512" w14:textId="77777777" w:rsidR="0014521A" w:rsidRDefault="0014521A" w:rsidP="0074045D">
      <w:pPr>
        <w:spacing w:before="240" w:after="240" w:line="276" w:lineRule="auto"/>
        <w:jc w:val="both"/>
        <w:rPr>
          <w:rFonts w:ascii="Century Gothic" w:hAnsi="Century Gothic" w:cstheme="minorHAnsi"/>
        </w:rPr>
      </w:pPr>
    </w:p>
    <w:p w14:paraId="1DED19B3" w14:textId="1A9EBD63" w:rsidR="00CD7FD6" w:rsidRDefault="00CD7FD6" w:rsidP="00CD7FD6">
      <w:pPr>
        <w:pStyle w:val="Ttulo2"/>
        <w:spacing w:line="276" w:lineRule="auto"/>
        <w:jc w:val="both"/>
        <w:rPr>
          <w:rFonts w:ascii="Century Gothic" w:hAnsi="Century Gothic" w:cstheme="minorHAnsi"/>
        </w:rPr>
      </w:pPr>
      <w:bookmarkStart w:id="13" w:name="_Hlk151980933"/>
      <w:bookmarkStart w:id="14" w:name="_Toc230677702"/>
      <w:r>
        <w:rPr>
          <w:rFonts w:ascii="Century Gothic" w:hAnsi="Century Gothic" w:cstheme="minorHAnsi"/>
        </w:rPr>
        <w:t>Condición</w:t>
      </w:r>
      <w:r w:rsidRPr="00F062F1">
        <w:rPr>
          <w:rFonts w:ascii="Century Gothic" w:hAnsi="Century Gothic" w:cstheme="minorHAnsi"/>
        </w:rPr>
        <w:t xml:space="preserve"> </w:t>
      </w:r>
      <w:r w:rsidR="00EC0D15">
        <w:rPr>
          <w:rFonts w:ascii="Century Gothic" w:hAnsi="Century Gothic" w:cstheme="minorHAnsi"/>
        </w:rPr>
        <w:t>5</w:t>
      </w:r>
      <w:r w:rsidRPr="00F062F1">
        <w:rPr>
          <w:rFonts w:ascii="Century Gothic" w:hAnsi="Century Gothic" w:cstheme="minorHAnsi"/>
        </w:rPr>
        <w:t xml:space="preserve">ª: </w:t>
      </w:r>
      <w:r>
        <w:rPr>
          <w:rFonts w:ascii="Century Gothic" w:hAnsi="Century Gothic" w:cstheme="minorHAnsi"/>
        </w:rPr>
        <w:t>Extinción de las autorizaciones</w:t>
      </w:r>
      <w:r w:rsidR="00E026BF">
        <w:rPr>
          <w:rFonts w:ascii="Century Gothic" w:hAnsi="Century Gothic" w:cstheme="minorHAnsi"/>
        </w:rPr>
        <w:t xml:space="preserve"> del servicio comercial</w:t>
      </w:r>
      <w:bookmarkEnd w:id="14"/>
    </w:p>
    <w:p w14:paraId="07D5A0F7" w14:textId="77777777" w:rsidR="00CD7FD6" w:rsidRDefault="00CD7FD6" w:rsidP="00CD7FD6"/>
    <w:p w14:paraId="63DB1DDF" w14:textId="2EB09F9C" w:rsidR="00DE301C" w:rsidRPr="00DE301C" w:rsidRDefault="00DE301C" w:rsidP="00DE301C">
      <w:pPr>
        <w:ind w:right="-2"/>
        <w:jc w:val="both"/>
        <w:rPr>
          <w:rFonts w:ascii="Century Gothic" w:hAnsi="Century Gothic" w:cstheme="minorHAnsi"/>
        </w:rPr>
      </w:pPr>
      <w:r>
        <w:rPr>
          <w:rFonts w:ascii="Century Gothic" w:hAnsi="Century Gothic" w:cstheme="minorHAnsi"/>
        </w:rPr>
        <w:t>De acuerdo con el artículo 139.6 del TRLPEMM, l</w:t>
      </w:r>
      <w:r w:rsidRPr="00DE301C">
        <w:rPr>
          <w:rFonts w:ascii="Century Gothic" w:hAnsi="Century Gothic" w:cstheme="minorHAnsi"/>
        </w:rPr>
        <w:t xml:space="preserve">as autorizaciones </w:t>
      </w:r>
      <w:r w:rsidR="000F5E4A">
        <w:rPr>
          <w:rFonts w:ascii="Century Gothic" w:hAnsi="Century Gothic" w:cstheme="minorHAnsi"/>
        </w:rPr>
        <w:t xml:space="preserve">(títulos habilitantes) </w:t>
      </w:r>
      <w:r>
        <w:rPr>
          <w:rFonts w:ascii="Century Gothic" w:hAnsi="Century Gothic" w:cstheme="minorHAnsi"/>
        </w:rPr>
        <w:t>se extinguirán por alguna de las causas siguientes:</w:t>
      </w:r>
    </w:p>
    <w:p w14:paraId="4A89E741" w14:textId="1381FD67" w:rsidR="00DE301C" w:rsidRPr="00DE301C" w:rsidRDefault="00DE301C" w:rsidP="00DE301C">
      <w:pPr>
        <w:ind w:right="-2"/>
        <w:jc w:val="both"/>
        <w:rPr>
          <w:rFonts w:ascii="Century Gothic" w:hAnsi="Century Gothic" w:cstheme="minorHAnsi"/>
        </w:rPr>
      </w:pPr>
      <w:r w:rsidRPr="00DE301C">
        <w:rPr>
          <w:rFonts w:ascii="Century Gothic" w:hAnsi="Century Gothic" w:cstheme="minorHAnsi"/>
        </w:rPr>
        <w:t xml:space="preserve">a) Transcurso del plazo </w:t>
      </w:r>
      <w:r>
        <w:rPr>
          <w:rFonts w:ascii="Century Gothic" w:hAnsi="Century Gothic" w:cstheme="minorHAnsi"/>
        </w:rPr>
        <w:t>máximo que se disponga</w:t>
      </w:r>
      <w:r w:rsidRPr="00DE301C">
        <w:rPr>
          <w:rFonts w:ascii="Century Gothic" w:hAnsi="Century Gothic" w:cstheme="minorHAnsi"/>
        </w:rPr>
        <w:t xml:space="preserve"> en la autorización.</w:t>
      </w:r>
    </w:p>
    <w:p w14:paraId="27798F61" w14:textId="69C40B36" w:rsidR="00DE301C" w:rsidRDefault="00DE301C" w:rsidP="00DE301C">
      <w:pPr>
        <w:ind w:right="-2"/>
        <w:jc w:val="both"/>
        <w:rPr>
          <w:rFonts w:ascii="Century Gothic" w:hAnsi="Century Gothic" w:cstheme="minorHAnsi"/>
        </w:rPr>
      </w:pPr>
      <w:r w:rsidRPr="00DE301C">
        <w:rPr>
          <w:rFonts w:ascii="Century Gothic" w:hAnsi="Century Gothic" w:cstheme="minorHAnsi"/>
        </w:rPr>
        <w:t xml:space="preserve">b) Revocación por incumplimiento de las condiciones establecidas en </w:t>
      </w:r>
      <w:r w:rsidR="0002236D">
        <w:rPr>
          <w:rFonts w:ascii="Century Gothic" w:hAnsi="Century Gothic" w:cstheme="minorHAnsi"/>
        </w:rPr>
        <w:t>la autorización</w:t>
      </w:r>
      <w:r w:rsidR="00E33A43">
        <w:rPr>
          <w:rFonts w:ascii="Century Gothic" w:hAnsi="Century Gothic" w:cstheme="minorHAnsi"/>
        </w:rPr>
        <w:t xml:space="preserve"> o en las validaciones técnicas asociadas</w:t>
      </w:r>
      <w:r w:rsidRPr="00DE301C">
        <w:rPr>
          <w:rFonts w:ascii="Century Gothic" w:hAnsi="Century Gothic" w:cstheme="minorHAnsi"/>
        </w:rPr>
        <w:t>.</w:t>
      </w:r>
    </w:p>
    <w:p w14:paraId="166B3FB6" w14:textId="1DA87123" w:rsidR="00F46C0E" w:rsidRPr="00DE301C" w:rsidRDefault="00F46C0E" w:rsidP="00DE301C">
      <w:pPr>
        <w:ind w:right="-2"/>
        <w:jc w:val="both"/>
        <w:rPr>
          <w:rFonts w:ascii="Century Gothic" w:hAnsi="Century Gothic" w:cstheme="minorHAnsi"/>
        </w:rPr>
      </w:pPr>
      <w:r>
        <w:rPr>
          <w:rFonts w:ascii="Century Gothic" w:hAnsi="Century Gothic" w:cstheme="minorHAnsi"/>
        </w:rPr>
        <w:t xml:space="preserve">c) </w:t>
      </w:r>
      <w:r w:rsidR="00CD7497">
        <w:rPr>
          <w:rFonts w:ascii="Century Gothic" w:hAnsi="Century Gothic" w:cstheme="minorHAnsi"/>
        </w:rPr>
        <w:t>Renuncia de la empresa autorizada con un preaviso mínimo de 6 meses.</w:t>
      </w:r>
      <w:r>
        <w:rPr>
          <w:rFonts w:ascii="Century Gothic" w:hAnsi="Century Gothic" w:cstheme="minorHAnsi"/>
        </w:rPr>
        <w:t xml:space="preserve"> </w:t>
      </w:r>
    </w:p>
    <w:bookmarkEnd w:id="13"/>
    <w:p w14:paraId="01FB3A02" w14:textId="09D9F800" w:rsidR="00CD7FD6" w:rsidRDefault="00922173" w:rsidP="00DE301C">
      <w:pPr>
        <w:ind w:right="-2"/>
        <w:jc w:val="both"/>
        <w:rPr>
          <w:rFonts w:ascii="Century Gothic" w:hAnsi="Century Gothic" w:cstheme="minorHAnsi"/>
          <w:color w:val="FF0000"/>
        </w:rPr>
      </w:pPr>
      <w:r>
        <w:rPr>
          <w:rFonts w:ascii="Century Gothic" w:hAnsi="Century Gothic" w:cstheme="minorHAnsi"/>
          <w:color w:val="FF0000"/>
        </w:rPr>
        <w:t>d)</w:t>
      </w:r>
      <w:r w:rsidR="00DE301C" w:rsidRPr="007231AE">
        <w:rPr>
          <w:rFonts w:ascii="Century Gothic" w:hAnsi="Century Gothic" w:cstheme="minorHAnsi"/>
          <w:color w:val="FF0000"/>
        </w:rPr>
        <w:t xml:space="preserve"> </w:t>
      </w:r>
      <w:r w:rsidR="00DE301C">
        <w:rPr>
          <w:rFonts w:ascii="Century Gothic" w:hAnsi="Century Gothic" w:cstheme="minorHAnsi"/>
          <w:color w:val="FF0000"/>
        </w:rPr>
        <w:t>XXXXXX (a particularizar por la Autoridad Portuaria).</w:t>
      </w:r>
    </w:p>
    <w:p w14:paraId="272D44F0" w14:textId="6A2896C7" w:rsidR="00F43FA1" w:rsidRPr="00FF672A" w:rsidRDefault="00F43FA1" w:rsidP="009D7F78">
      <w:pPr>
        <w:pStyle w:val="Sinespaciado"/>
        <w:spacing w:line="276" w:lineRule="auto"/>
        <w:rPr>
          <w:rFonts w:ascii="Century Gothic" w:hAnsi="Century Gothic" w:cstheme="minorHAnsi"/>
          <w:color w:val="auto"/>
        </w:rPr>
      </w:pPr>
      <w:r w:rsidRPr="009D7F78">
        <w:rPr>
          <w:rFonts w:ascii="Century Gothic" w:hAnsi="Century Gothic" w:cstheme="minorHAnsi"/>
          <w:color w:val="auto"/>
        </w:rPr>
        <w:lastRenderedPageBreak/>
        <w:t>La extinción de la autorización</w:t>
      </w:r>
      <w:r w:rsidR="000F5E4A">
        <w:rPr>
          <w:rFonts w:ascii="Century Gothic" w:hAnsi="Century Gothic" w:cstheme="minorHAnsi"/>
          <w:color w:val="auto"/>
        </w:rPr>
        <w:t xml:space="preserve"> (título habilitante)</w:t>
      </w:r>
      <w:r w:rsidRPr="009D7F78">
        <w:rPr>
          <w:rFonts w:ascii="Century Gothic" w:hAnsi="Century Gothic" w:cstheme="minorHAnsi"/>
          <w:color w:val="auto"/>
        </w:rPr>
        <w:t xml:space="preserve"> por cualquiera de las razones anteriores no dará derecho a indemnización alguna, ni implicará la asunción, siquiera de forma subsidiaria, de ninguna obligación económica, laboral, contractual o de cualquier otra índole por parte de la Autoridad Portuaria respecto a las que tuviera contraídas el titular de la autorización</w:t>
      </w:r>
      <w:r w:rsidRPr="00FF672A">
        <w:rPr>
          <w:rFonts w:ascii="Century Gothic" w:hAnsi="Century Gothic" w:cstheme="minorHAnsi"/>
          <w:color w:val="auto"/>
        </w:rPr>
        <w:t>.</w:t>
      </w:r>
    </w:p>
    <w:p w14:paraId="4645CB7B" w14:textId="77777777" w:rsidR="0014521A" w:rsidRPr="003E37A4" w:rsidRDefault="0014521A" w:rsidP="00DE301C">
      <w:pPr>
        <w:ind w:right="-2"/>
        <w:jc w:val="both"/>
        <w:rPr>
          <w:rFonts w:ascii="Century Gothic" w:hAnsi="Century Gothic" w:cstheme="minorHAnsi"/>
        </w:rPr>
      </w:pPr>
    </w:p>
    <w:p w14:paraId="1301F9AB" w14:textId="7DD7DF76" w:rsidR="00F51BB2" w:rsidRDefault="00E96ED3" w:rsidP="001E2C7D">
      <w:pPr>
        <w:pStyle w:val="Ttulo2"/>
        <w:spacing w:line="276" w:lineRule="auto"/>
        <w:jc w:val="both"/>
        <w:rPr>
          <w:rFonts w:ascii="Century Gothic" w:hAnsi="Century Gothic" w:cstheme="minorHAnsi"/>
        </w:rPr>
      </w:pPr>
      <w:bookmarkStart w:id="15" w:name="_Prescripción_9ª:_Condiciones"/>
      <w:bookmarkStart w:id="16" w:name="_Toc230677703"/>
      <w:bookmarkEnd w:id="15"/>
      <w:r>
        <w:rPr>
          <w:rFonts w:ascii="Century Gothic" w:hAnsi="Century Gothic" w:cstheme="minorHAnsi"/>
        </w:rPr>
        <w:t>Condición</w:t>
      </w:r>
      <w:r w:rsidR="00303389" w:rsidRPr="00F062F1">
        <w:rPr>
          <w:rFonts w:ascii="Century Gothic" w:hAnsi="Century Gothic" w:cstheme="minorHAnsi"/>
        </w:rPr>
        <w:t xml:space="preserve"> </w:t>
      </w:r>
      <w:r w:rsidR="00EC0D15">
        <w:rPr>
          <w:rFonts w:ascii="Century Gothic" w:hAnsi="Century Gothic" w:cstheme="minorHAnsi"/>
        </w:rPr>
        <w:t>6</w:t>
      </w:r>
      <w:r w:rsidR="00350A34">
        <w:rPr>
          <w:rFonts w:ascii="Century Gothic" w:hAnsi="Century Gothic" w:cstheme="minorHAnsi"/>
        </w:rPr>
        <w:t>ª</w:t>
      </w:r>
      <w:r w:rsidR="00E21CDE" w:rsidRPr="00F062F1">
        <w:rPr>
          <w:rFonts w:ascii="Century Gothic" w:hAnsi="Century Gothic" w:cstheme="minorHAnsi"/>
        </w:rPr>
        <w:t xml:space="preserve">: </w:t>
      </w:r>
      <w:r w:rsidR="00632B72" w:rsidRPr="00F062F1">
        <w:rPr>
          <w:rFonts w:ascii="Century Gothic" w:hAnsi="Century Gothic" w:cstheme="minorHAnsi"/>
        </w:rPr>
        <w:t xml:space="preserve">Condiciones </w:t>
      </w:r>
      <w:r w:rsidR="00265364">
        <w:rPr>
          <w:rFonts w:ascii="Century Gothic" w:hAnsi="Century Gothic" w:cstheme="minorHAnsi"/>
        </w:rPr>
        <w:t>y medios para garantizar la seguridad y calidad ambiental del servicio</w:t>
      </w:r>
      <w:bookmarkEnd w:id="16"/>
    </w:p>
    <w:p w14:paraId="051D72B5" w14:textId="55C64E03" w:rsidR="00923EDC" w:rsidRDefault="00923EDC" w:rsidP="001E2C7D">
      <w:pPr>
        <w:spacing w:line="276" w:lineRule="auto"/>
      </w:pPr>
    </w:p>
    <w:p w14:paraId="4BA4E96E" w14:textId="77777777" w:rsidR="00D7666D" w:rsidRDefault="00D7666D" w:rsidP="006965D8">
      <w:pPr>
        <w:pStyle w:val="Ttulo2"/>
        <w:numPr>
          <w:ilvl w:val="0"/>
          <w:numId w:val="11"/>
        </w:numPr>
        <w:spacing w:line="276" w:lineRule="auto"/>
        <w:ind w:left="142" w:firstLine="0"/>
        <w:jc w:val="both"/>
        <w:rPr>
          <w:rFonts w:ascii="Century Gothic" w:hAnsi="Century Gothic" w:cstheme="minorHAnsi"/>
        </w:rPr>
      </w:pPr>
      <w:bookmarkStart w:id="17" w:name="_Toc230677704"/>
      <w:r>
        <w:rPr>
          <w:rFonts w:ascii="Century Gothic" w:hAnsi="Century Gothic" w:cstheme="minorHAnsi"/>
        </w:rPr>
        <w:t>Condiciones de acceso</w:t>
      </w:r>
      <w:bookmarkEnd w:id="17"/>
    </w:p>
    <w:p w14:paraId="109C0DFC" w14:textId="06A70509" w:rsidR="00D7666D" w:rsidRDefault="00D7666D" w:rsidP="006965D8">
      <w:pPr>
        <w:pStyle w:val="Prrafodelista"/>
        <w:numPr>
          <w:ilvl w:val="0"/>
          <w:numId w:val="13"/>
        </w:numPr>
        <w:spacing w:line="276" w:lineRule="auto"/>
        <w:ind w:left="142" w:firstLine="0"/>
        <w:jc w:val="both"/>
        <w:rPr>
          <w:rFonts w:ascii="Century Gothic" w:hAnsi="Century Gothic" w:cstheme="minorHAnsi"/>
        </w:rPr>
      </w:pPr>
      <w:r w:rsidRPr="00CF2B04">
        <w:rPr>
          <w:rFonts w:ascii="Century Gothic" w:hAnsi="Century Gothic" w:cstheme="minorHAnsi"/>
        </w:rPr>
        <w:t>El acceso al mercado para la prestación del servicio estará sujeto a lo establecido en el Reglamento UE 2017/352 y en el TRLPEMM.</w:t>
      </w:r>
      <w:r w:rsidRPr="00CF2B04" w:rsidDel="00B41C11">
        <w:rPr>
          <w:rFonts w:ascii="Century Gothic" w:hAnsi="Century Gothic" w:cstheme="minorHAnsi"/>
        </w:rPr>
        <w:t xml:space="preserve"> </w:t>
      </w:r>
    </w:p>
    <w:p w14:paraId="4DD13B09" w14:textId="15764801" w:rsidR="00D7666D" w:rsidRPr="007D696D" w:rsidRDefault="0008797B" w:rsidP="006965D8">
      <w:pPr>
        <w:pStyle w:val="Prrafodelista"/>
        <w:numPr>
          <w:ilvl w:val="0"/>
          <w:numId w:val="13"/>
        </w:numPr>
        <w:spacing w:line="276" w:lineRule="auto"/>
        <w:ind w:left="142" w:firstLine="0"/>
        <w:jc w:val="both"/>
        <w:rPr>
          <w:rFonts w:ascii="Century Gothic" w:hAnsi="Century Gothic" w:cstheme="minorHAnsi"/>
        </w:rPr>
      </w:pPr>
      <w:r w:rsidRPr="007D696D">
        <w:rPr>
          <w:rFonts w:ascii="Century Gothic" w:hAnsi="Century Gothic" w:cstheme="minorHAnsi"/>
        </w:rPr>
        <w:t xml:space="preserve">Toda persona física o jurídica que </w:t>
      </w:r>
      <w:r w:rsidR="00540FA7">
        <w:rPr>
          <w:rFonts w:ascii="Century Gothic" w:hAnsi="Century Gothic" w:cstheme="minorHAnsi"/>
        </w:rPr>
        <w:t>solicite</w:t>
      </w:r>
      <w:r w:rsidRPr="007D696D">
        <w:rPr>
          <w:rFonts w:ascii="Century Gothic" w:hAnsi="Century Gothic" w:cstheme="minorHAnsi"/>
        </w:rPr>
        <w:t xml:space="preserve"> autorización</w:t>
      </w:r>
      <w:r w:rsidR="004F3CD8">
        <w:rPr>
          <w:rFonts w:ascii="Century Gothic" w:hAnsi="Century Gothic" w:cstheme="minorHAnsi"/>
        </w:rPr>
        <w:t xml:space="preserve"> (título habilitante)</w:t>
      </w:r>
      <w:r w:rsidR="00590872">
        <w:rPr>
          <w:rFonts w:ascii="Century Gothic" w:hAnsi="Century Gothic" w:cstheme="minorHAnsi"/>
        </w:rPr>
        <w:t xml:space="preserve">, así como las </w:t>
      </w:r>
      <w:r w:rsidR="00540FA7">
        <w:rPr>
          <w:rFonts w:ascii="Century Gothic" w:hAnsi="Century Gothic" w:cstheme="minorHAnsi"/>
        </w:rPr>
        <w:t>validaciones</w:t>
      </w:r>
      <w:r w:rsidR="00590872">
        <w:rPr>
          <w:rFonts w:ascii="Century Gothic" w:hAnsi="Century Gothic" w:cstheme="minorHAnsi"/>
        </w:rPr>
        <w:t xml:space="preserve"> técnicas de suministro asociadas,</w:t>
      </w:r>
      <w:r w:rsidRPr="007D696D">
        <w:rPr>
          <w:rFonts w:ascii="Century Gothic" w:hAnsi="Century Gothic" w:cstheme="minorHAnsi"/>
        </w:rPr>
        <w:t xml:space="preserve"> podrá solicitarla</w:t>
      </w:r>
      <w:r w:rsidR="00590872">
        <w:rPr>
          <w:rFonts w:ascii="Century Gothic" w:hAnsi="Century Gothic" w:cstheme="minorHAnsi"/>
        </w:rPr>
        <w:t>s</w:t>
      </w:r>
      <w:r w:rsidRPr="007D696D">
        <w:rPr>
          <w:rFonts w:ascii="Century Gothic" w:hAnsi="Century Gothic" w:cstheme="minorHAnsi"/>
        </w:rPr>
        <w:t xml:space="preserve"> en cualquier momento presentando ante la Autoridad Portuaria los documentos relacionados en el Anexo II </w:t>
      </w:r>
      <w:r w:rsidR="00E8029F">
        <w:rPr>
          <w:rFonts w:ascii="Century Gothic" w:hAnsi="Century Gothic" w:cstheme="minorHAnsi"/>
        </w:rPr>
        <w:t xml:space="preserve">de este Pliego </w:t>
      </w:r>
      <w:r w:rsidRPr="007D696D">
        <w:rPr>
          <w:rFonts w:ascii="Century Gothic" w:hAnsi="Century Gothic" w:cstheme="minorHAnsi"/>
        </w:rPr>
        <w:t xml:space="preserve">y tendrá derecho a su otorgamiento siempre y cuando acredite el cumplimiento de los requisitos. De acuerdo con el artículo 6 del </w:t>
      </w:r>
      <w:r w:rsidRPr="007D696D">
        <w:rPr>
          <w:rFonts w:ascii="Century Gothic" w:hAnsi="Century Gothic"/>
        </w:rPr>
        <w:t xml:space="preserve">Reglamento UE 2017/352, la Autoridad Portuaria </w:t>
      </w:r>
      <w:r w:rsidRPr="007D696D">
        <w:rPr>
          <w:rFonts w:ascii="Century Gothic" w:hAnsi="Century Gothic" w:cstheme="minorHAnsi"/>
        </w:rPr>
        <w:t>podrá limitar el número de prestadores del servicio mediante un procedimiento de selección abierto a todas las partes interesadas que cumplan con los requisitos necesarios para su prestación.</w:t>
      </w:r>
      <w:r w:rsidRPr="008932B6">
        <w:rPr>
          <w:rFonts w:ascii="Century Gothic" w:hAnsi="Century Gothic"/>
          <w:color w:val="FF0000"/>
        </w:rPr>
        <w:t xml:space="preserve"> (Si</w:t>
      </w:r>
      <w:r w:rsidR="005E1BA2">
        <w:rPr>
          <w:rFonts w:ascii="Century Gothic" w:hAnsi="Century Gothic"/>
          <w:color w:val="FF0000"/>
        </w:rPr>
        <w:t xml:space="preserve"> la Autoridad Portuaria optara de manera excepcional por </w:t>
      </w:r>
      <w:r w:rsidRPr="008932B6">
        <w:rPr>
          <w:rFonts w:ascii="Century Gothic" w:hAnsi="Century Gothic"/>
          <w:color w:val="FF0000"/>
        </w:rPr>
        <w:t xml:space="preserve">limitar el número de prestadores del servicio, </w:t>
      </w:r>
      <w:r w:rsidR="007E74F2">
        <w:rPr>
          <w:rFonts w:ascii="Century Gothic" w:hAnsi="Century Gothic"/>
          <w:color w:val="FF0000"/>
        </w:rPr>
        <w:t>e</w:t>
      </w:r>
      <w:r w:rsidR="00F34B4C" w:rsidRPr="008932B6">
        <w:rPr>
          <w:rFonts w:ascii="Century Gothic" w:hAnsi="Century Gothic"/>
          <w:color w:val="FF0000"/>
        </w:rPr>
        <w:t xml:space="preserve">l procedimiento de selección </w:t>
      </w:r>
      <w:r w:rsidR="005E1BA2">
        <w:rPr>
          <w:rFonts w:ascii="Century Gothic" w:hAnsi="Century Gothic"/>
          <w:color w:val="FF0000"/>
        </w:rPr>
        <w:t>requiere</w:t>
      </w:r>
      <w:r w:rsidR="00F34B4C" w:rsidRPr="008932B6">
        <w:rPr>
          <w:rFonts w:ascii="Century Gothic" w:hAnsi="Century Gothic"/>
          <w:color w:val="FF0000"/>
        </w:rPr>
        <w:t xml:space="preserve"> la elaboración del PCP</w:t>
      </w:r>
      <w:r w:rsidR="005E1BA2">
        <w:rPr>
          <w:rFonts w:ascii="Century Gothic" w:hAnsi="Century Gothic"/>
          <w:color w:val="FF0000"/>
        </w:rPr>
        <w:t>,</w:t>
      </w:r>
      <w:r w:rsidR="00A7768D">
        <w:rPr>
          <w:rFonts w:ascii="Century Gothic" w:hAnsi="Century Gothic"/>
          <w:color w:val="FF0000"/>
        </w:rPr>
        <w:t xml:space="preserve"> más</w:t>
      </w:r>
      <w:r w:rsidR="00F34B4C" w:rsidRPr="008932B6">
        <w:rPr>
          <w:rFonts w:ascii="Century Gothic" w:hAnsi="Century Gothic"/>
          <w:color w:val="FF0000"/>
        </w:rPr>
        <w:t xml:space="preserve"> </w:t>
      </w:r>
      <w:r w:rsidR="009A7EEC">
        <w:rPr>
          <w:rFonts w:ascii="Century Gothic" w:hAnsi="Century Gothic"/>
          <w:color w:val="FF0000"/>
        </w:rPr>
        <w:t>un</w:t>
      </w:r>
      <w:r w:rsidR="00F34B4C" w:rsidRPr="008932B6">
        <w:rPr>
          <w:rFonts w:ascii="Century Gothic" w:hAnsi="Century Gothic"/>
          <w:color w:val="FF0000"/>
        </w:rPr>
        <w:t xml:space="preserve"> pliego de bases que regule el concurso, </w:t>
      </w:r>
      <w:r w:rsidR="00A7768D">
        <w:rPr>
          <w:rFonts w:ascii="Century Gothic" w:hAnsi="Century Gothic"/>
          <w:color w:val="FF0000"/>
        </w:rPr>
        <w:t>además del</w:t>
      </w:r>
      <w:r w:rsidR="00F34B4C" w:rsidRPr="008932B6">
        <w:rPr>
          <w:rFonts w:ascii="Century Gothic" w:hAnsi="Century Gothic"/>
          <w:color w:val="FF0000"/>
        </w:rPr>
        <w:t xml:space="preserve"> pliego de la concesión si </w:t>
      </w:r>
      <w:r w:rsidR="00645ED8">
        <w:rPr>
          <w:rFonts w:ascii="Century Gothic" w:hAnsi="Century Gothic"/>
          <w:color w:val="FF0000"/>
        </w:rPr>
        <w:t>la prestación del servicio exige</w:t>
      </w:r>
      <w:r w:rsidR="00F34B4C" w:rsidRPr="008932B6">
        <w:rPr>
          <w:rFonts w:ascii="Century Gothic" w:hAnsi="Century Gothic"/>
          <w:color w:val="FF0000"/>
        </w:rPr>
        <w:t xml:space="preserve"> ocupación de dominio público</w:t>
      </w:r>
      <w:r w:rsidR="00A7768D">
        <w:rPr>
          <w:rFonts w:ascii="Century Gothic" w:hAnsi="Century Gothic"/>
          <w:color w:val="FF0000"/>
        </w:rPr>
        <w:t>. La</w:t>
      </w:r>
      <w:r w:rsidR="005E737C">
        <w:rPr>
          <w:rFonts w:ascii="Century Gothic" w:hAnsi="Century Gothic"/>
          <w:color w:val="FF0000"/>
        </w:rPr>
        <w:t xml:space="preserve"> tramitación </w:t>
      </w:r>
      <w:r w:rsidR="00A7768D">
        <w:rPr>
          <w:rFonts w:ascii="Century Gothic" w:hAnsi="Century Gothic"/>
          <w:color w:val="FF0000"/>
        </w:rPr>
        <w:t xml:space="preserve">debe realizarse </w:t>
      </w:r>
      <w:r w:rsidR="00F34B4C" w:rsidRPr="008932B6">
        <w:rPr>
          <w:rFonts w:ascii="Century Gothic" w:hAnsi="Century Gothic"/>
          <w:color w:val="FF0000"/>
        </w:rPr>
        <w:t xml:space="preserve">mediante expediente único </w:t>
      </w:r>
      <w:r w:rsidR="007E74F2">
        <w:rPr>
          <w:rFonts w:ascii="Century Gothic" w:hAnsi="Century Gothic"/>
          <w:color w:val="FF0000"/>
        </w:rPr>
        <w:t>conforme al</w:t>
      </w:r>
      <w:r w:rsidR="00F34B4C" w:rsidRPr="008932B6">
        <w:rPr>
          <w:rFonts w:ascii="Century Gothic" w:hAnsi="Century Gothic"/>
          <w:color w:val="FF0000"/>
        </w:rPr>
        <w:t xml:space="preserve"> art.139.3 del TRLPEMM</w:t>
      </w:r>
      <w:r w:rsidR="00586070">
        <w:rPr>
          <w:rFonts w:ascii="Century Gothic" w:hAnsi="Century Gothic"/>
          <w:color w:val="FF0000"/>
        </w:rPr>
        <w:t xml:space="preserve">. </w:t>
      </w:r>
      <w:bookmarkStart w:id="18" w:name="_Hlk161653457"/>
      <w:r w:rsidR="00586070" w:rsidRPr="001C6339">
        <w:rPr>
          <w:rFonts w:ascii="Century Gothic" w:hAnsi="Century Gothic" w:cstheme="minorHAnsi"/>
          <w:color w:val="FF0000"/>
        </w:rPr>
        <w:t xml:space="preserve">Si </w:t>
      </w:r>
      <w:r w:rsidR="00645ED8">
        <w:rPr>
          <w:rFonts w:ascii="Century Gothic" w:hAnsi="Century Gothic" w:cstheme="minorHAnsi"/>
          <w:color w:val="FF0000"/>
        </w:rPr>
        <w:t>al elaborar el PCP y</w:t>
      </w:r>
      <w:r w:rsidR="00586070">
        <w:rPr>
          <w:rFonts w:ascii="Century Gothic" w:hAnsi="Century Gothic" w:cstheme="minorHAnsi"/>
          <w:color w:val="FF0000"/>
        </w:rPr>
        <w:t xml:space="preserve">a </w:t>
      </w:r>
      <w:r w:rsidR="00586070" w:rsidRPr="001C6339">
        <w:rPr>
          <w:rFonts w:ascii="Century Gothic" w:hAnsi="Century Gothic" w:cstheme="minorHAnsi"/>
          <w:color w:val="FF0000"/>
        </w:rPr>
        <w:t>exist</w:t>
      </w:r>
      <w:r w:rsidR="00645ED8">
        <w:rPr>
          <w:rFonts w:ascii="Century Gothic" w:hAnsi="Century Gothic" w:cstheme="minorHAnsi"/>
          <w:color w:val="FF0000"/>
        </w:rPr>
        <w:t>en concesiones otorgadas</w:t>
      </w:r>
      <w:r w:rsidR="00586070" w:rsidRPr="001C6339">
        <w:rPr>
          <w:rFonts w:ascii="Century Gothic" w:hAnsi="Century Gothic" w:cstheme="minorHAnsi"/>
          <w:color w:val="FF0000"/>
        </w:rPr>
        <w:t xml:space="preserve"> deben identificarse los medios adscritos a la concesión evitando duplicidades</w:t>
      </w:r>
      <w:bookmarkEnd w:id="18"/>
      <w:r w:rsidR="00586070" w:rsidRPr="001C6339">
        <w:rPr>
          <w:rFonts w:ascii="Century Gothic" w:hAnsi="Century Gothic" w:cstheme="minorHAnsi"/>
          <w:color w:val="FF0000"/>
        </w:rPr>
        <w:t xml:space="preserve"> con el PCP</w:t>
      </w:r>
      <w:r w:rsidR="00645ED8">
        <w:rPr>
          <w:rFonts w:ascii="Century Gothic" w:hAnsi="Century Gothic" w:cstheme="minorHAnsi"/>
          <w:color w:val="FF0000"/>
        </w:rPr>
        <w:t>, así como regular</w:t>
      </w:r>
      <w:r w:rsidR="00D3412F">
        <w:rPr>
          <w:rFonts w:ascii="Century Gothic" w:hAnsi="Century Gothic" w:cstheme="minorHAnsi"/>
          <w:color w:val="FF0000"/>
        </w:rPr>
        <w:t xml:space="preserve"> las contraprestaciones por el</w:t>
      </w:r>
      <w:r w:rsidR="00645ED8">
        <w:rPr>
          <w:rFonts w:ascii="Century Gothic" w:hAnsi="Century Gothic" w:cstheme="minorHAnsi"/>
          <w:color w:val="FF0000"/>
        </w:rPr>
        <w:t xml:space="preserve"> uso de espacios concesionados</w:t>
      </w:r>
      <w:r w:rsidR="00D3412F">
        <w:rPr>
          <w:rFonts w:ascii="Century Gothic" w:hAnsi="Century Gothic" w:cstheme="minorHAnsi"/>
          <w:color w:val="FF0000"/>
        </w:rPr>
        <w:t xml:space="preserve"> si la prestación del servicio así lo exige)</w:t>
      </w:r>
      <w:r w:rsidR="00645ED8">
        <w:rPr>
          <w:rFonts w:ascii="Century Gothic" w:hAnsi="Century Gothic" w:cstheme="minorHAnsi"/>
          <w:color w:val="FF0000"/>
        </w:rPr>
        <w:t>.</w:t>
      </w:r>
    </w:p>
    <w:p w14:paraId="6ED2B4D7" w14:textId="77777777" w:rsidR="00D7666D" w:rsidRDefault="00D7666D" w:rsidP="006965D8">
      <w:pPr>
        <w:pStyle w:val="Prrafodelista"/>
        <w:numPr>
          <w:ilvl w:val="0"/>
          <w:numId w:val="13"/>
        </w:numPr>
        <w:spacing w:line="276" w:lineRule="auto"/>
        <w:ind w:left="142" w:firstLine="0"/>
        <w:jc w:val="both"/>
        <w:rPr>
          <w:rFonts w:ascii="Century Gothic" w:hAnsi="Century Gothic" w:cstheme="minorHAnsi"/>
        </w:rPr>
      </w:pPr>
      <w:r w:rsidRPr="00E7244B">
        <w:rPr>
          <w:rFonts w:ascii="Century Gothic" w:hAnsi="Century Gothic" w:cstheme="minorHAnsi"/>
        </w:rPr>
        <w:t>Los</w:t>
      </w:r>
      <w:r w:rsidRPr="0002770B">
        <w:rPr>
          <w:rFonts w:ascii="Century Gothic" w:hAnsi="Century Gothic" w:cstheme="minorHAnsi"/>
        </w:rPr>
        <w:t xml:space="preserve"> solicitantes deberán acreditar el cumplimiento de las obligaciones fiscales, laborales y de seguridad social.</w:t>
      </w:r>
      <w:r w:rsidRPr="00F062F1">
        <w:rPr>
          <w:rFonts w:ascii="Century Gothic" w:hAnsi="Century Gothic" w:cstheme="minorHAnsi"/>
        </w:rPr>
        <w:t xml:space="preserve"> </w:t>
      </w:r>
    </w:p>
    <w:p w14:paraId="24707D84" w14:textId="77777777" w:rsidR="00D7666D" w:rsidRPr="00742840" w:rsidRDefault="00D7666D" w:rsidP="006965D8">
      <w:pPr>
        <w:pStyle w:val="Prrafodelista"/>
        <w:numPr>
          <w:ilvl w:val="0"/>
          <w:numId w:val="13"/>
        </w:numPr>
        <w:spacing w:line="276" w:lineRule="auto"/>
        <w:ind w:left="142" w:firstLine="0"/>
        <w:jc w:val="both"/>
        <w:rPr>
          <w:rFonts w:ascii="Century Gothic" w:hAnsi="Century Gothic" w:cstheme="minorHAnsi"/>
          <w:i/>
          <w:iCs/>
        </w:rPr>
      </w:pPr>
      <w:r>
        <w:rPr>
          <w:rFonts w:ascii="Century Gothic" w:hAnsi="Century Gothic" w:cstheme="minorHAnsi"/>
        </w:rPr>
        <w:t xml:space="preserve">Se </w:t>
      </w:r>
      <w:r w:rsidRPr="00F062F1">
        <w:rPr>
          <w:rFonts w:ascii="Century Gothic" w:hAnsi="Century Gothic" w:cstheme="minorHAnsi"/>
        </w:rPr>
        <w:t xml:space="preserve">considerará que los solicitantes se encuentran al corriente de las obligaciones de carácter fiscal y con la Seguridad Social, cuando concurran las circunstancias previstas en los artículos 71, 72 y 73 de la Subsección referida a las prohibiciones de contratar de la </w:t>
      </w:r>
      <w:r w:rsidRPr="00742840">
        <w:rPr>
          <w:rFonts w:ascii="Century Gothic" w:hAnsi="Century Gothic" w:cstheme="minorHAnsi"/>
          <w:i/>
          <w:iCs/>
        </w:rPr>
        <w:t>Ley 9/2017, de 8 de noviembre, de Contratos del Sector Público</w:t>
      </w:r>
      <w:r>
        <w:rPr>
          <w:rFonts w:ascii="Century Gothic" w:hAnsi="Century Gothic" w:cstheme="minorHAnsi"/>
          <w:i/>
          <w:iCs/>
        </w:rPr>
        <w:t>.</w:t>
      </w:r>
    </w:p>
    <w:p w14:paraId="6F55DA4F" w14:textId="5B886904" w:rsidR="00D7666D" w:rsidRDefault="00D7666D" w:rsidP="006965D8">
      <w:pPr>
        <w:pStyle w:val="Prrafodelista"/>
        <w:numPr>
          <w:ilvl w:val="0"/>
          <w:numId w:val="13"/>
        </w:numPr>
        <w:spacing w:line="276" w:lineRule="auto"/>
        <w:ind w:left="142" w:firstLine="0"/>
        <w:jc w:val="both"/>
      </w:pPr>
      <w:r w:rsidRPr="00E911D2">
        <w:rPr>
          <w:rFonts w:ascii="Century Gothic" w:hAnsi="Century Gothic" w:cstheme="minorHAnsi"/>
        </w:rPr>
        <w:t xml:space="preserve">Las condiciones de acceso son de obligado cumplimiento tanto para la obtención de la autorización como durante toda su vigencia. </w:t>
      </w:r>
    </w:p>
    <w:p w14:paraId="036B7B86" w14:textId="0CCE0348" w:rsidR="00923EDC" w:rsidRPr="003847F5" w:rsidRDefault="00212178" w:rsidP="006965D8">
      <w:pPr>
        <w:pStyle w:val="Ttulo2"/>
        <w:numPr>
          <w:ilvl w:val="0"/>
          <w:numId w:val="11"/>
        </w:numPr>
        <w:spacing w:line="276" w:lineRule="auto"/>
        <w:ind w:left="426" w:hanging="284"/>
        <w:jc w:val="both"/>
        <w:rPr>
          <w:rFonts w:ascii="Century Gothic" w:hAnsi="Century Gothic" w:cstheme="minorHAnsi"/>
        </w:rPr>
      </w:pPr>
      <w:bookmarkStart w:id="19" w:name="_Toc230677705"/>
      <w:r w:rsidRPr="003847F5">
        <w:rPr>
          <w:rFonts w:ascii="Century Gothic" w:hAnsi="Century Gothic" w:cstheme="minorHAnsi"/>
        </w:rPr>
        <w:t xml:space="preserve">Condiciones </w:t>
      </w:r>
      <w:r w:rsidR="000F2120">
        <w:rPr>
          <w:rFonts w:ascii="Century Gothic" w:hAnsi="Century Gothic" w:cstheme="minorHAnsi"/>
        </w:rPr>
        <w:t>y medios</w:t>
      </w:r>
      <w:r w:rsidRPr="003847F5">
        <w:rPr>
          <w:rFonts w:ascii="Century Gothic" w:hAnsi="Century Gothic" w:cstheme="minorHAnsi"/>
        </w:rPr>
        <w:t xml:space="preserve"> de prestación del servicio</w:t>
      </w:r>
      <w:bookmarkEnd w:id="19"/>
    </w:p>
    <w:p w14:paraId="65F279A8" w14:textId="5B9A0B7C" w:rsidR="00897ACD" w:rsidRPr="00897ACD" w:rsidRDefault="00247685" w:rsidP="006965D8">
      <w:pPr>
        <w:pStyle w:val="Prrafodelista"/>
        <w:numPr>
          <w:ilvl w:val="0"/>
          <w:numId w:val="8"/>
        </w:numPr>
        <w:spacing w:line="276" w:lineRule="auto"/>
        <w:ind w:left="142" w:firstLine="0"/>
        <w:jc w:val="both"/>
        <w:rPr>
          <w:rFonts w:ascii="Century Gothic" w:hAnsi="Century Gothic" w:cstheme="minorHAnsi"/>
        </w:rPr>
      </w:pPr>
      <w:r w:rsidRPr="00BB7A2A">
        <w:rPr>
          <w:rFonts w:ascii="Century Gothic" w:hAnsi="Century Gothic" w:cstheme="minorHAnsi"/>
        </w:rPr>
        <w:t xml:space="preserve">Para la prestación del servicio de suministro de </w:t>
      </w:r>
      <w:r>
        <w:rPr>
          <w:rFonts w:ascii="Century Gothic" w:hAnsi="Century Gothic" w:cstheme="minorHAnsi"/>
        </w:rPr>
        <w:t xml:space="preserve">GNL a buques como </w:t>
      </w:r>
      <w:r w:rsidRPr="00BB7A2A">
        <w:rPr>
          <w:rFonts w:ascii="Century Gothic" w:hAnsi="Century Gothic" w:cstheme="minorHAnsi"/>
        </w:rPr>
        <w:t>combustible será imprescindible contar con un</w:t>
      </w:r>
      <w:r w:rsidR="00605BD6">
        <w:rPr>
          <w:rFonts w:ascii="Century Gothic" w:hAnsi="Century Gothic" w:cstheme="minorHAnsi"/>
        </w:rPr>
        <w:t xml:space="preserve"> </w:t>
      </w:r>
      <w:r w:rsidR="00941CDB">
        <w:rPr>
          <w:rFonts w:ascii="Century Gothic" w:hAnsi="Century Gothic" w:cstheme="minorHAnsi"/>
        </w:rPr>
        <w:t>título habilitante</w:t>
      </w:r>
      <w:r w:rsidR="00605BD6">
        <w:rPr>
          <w:rFonts w:ascii="Century Gothic" w:hAnsi="Century Gothic" w:cstheme="minorHAnsi"/>
        </w:rPr>
        <w:t xml:space="preserve"> de servicio </w:t>
      </w:r>
      <w:r w:rsidR="00605BD6">
        <w:rPr>
          <w:rFonts w:ascii="Century Gothic" w:hAnsi="Century Gothic" w:cstheme="minorHAnsi"/>
        </w:rPr>
        <w:lastRenderedPageBreak/>
        <w:t>comercial</w:t>
      </w:r>
      <w:r w:rsidR="00D90B4D">
        <w:rPr>
          <w:rFonts w:ascii="Century Gothic" w:hAnsi="Century Gothic" w:cstheme="minorHAnsi"/>
        </w:rPr>
        <w:t xml:space="preserve"> y</w:t>
      </w:r>
      <w:r w:rsidR="00941CDB">
        <w:rPr>
          <w:rFonts w:ascii="Century Gothic" w:hAnsi="Century Gothic" w:cstheme="minorHAnsi"/>
        </w:rPr>
        <w:t xml:space="preserve"> con</w:t>
      </w:r>
      <w:r w:rsidR="00D575B4">
        <w:rPr>
          <w:rFonts w:ascii="Century Gothic" w:hAnsi="Century Gothic" w:cstheme="minorHAnsi"/>
        </w:rPr>
        <w:t xml:space="preserve"> una</w:t>
      </w:r>
      <w:r w:rsidR="001B1FDE">
        <w:rPr>
          <w:rFonts w:ascii="Century Gothic" w:hAnsi="Century Gothic" w:cstheme="minorHAnsi"/>
        </w:rPr>
        <w:t xml:space="preserve"> validación</w:t>
      </w:r>
      <w:r w:rsidR="00D90B4D">
        <w:rPr>
          <w:rFonts w:ascii="Century Gothic" w:hAnsi="Century Gothic" w:cstheme="minorHAnsi"/>
        </w:rPr>
        <w:t xml:space="preserve"> técnica</w:t>
      </w:r>
      <w:r w:rsidR="004F799B">
        <w:rPr>
          <w:rFonts w:ascii="Century Gothic" w:hAnsi="Century Gothic" w:cstheme="minorHAnsi"/>
        </w:rPr>
        <w:t xml:space="preserve"> </w:t>
      </w:r>
      <w:r w:rsidR="00D575B4">
        <w:rPr>
          <w:rFonts w:ascii="Century Gothic" w:hAnsi="Century Gothic" w:cstheme="minorHAnsi"/>
        </w:rPr>
        <w:t>para las</w:t>
      </w:r>
      <w:r w:rsidR="0051782D" w:rsidRPr="00AB3416">
        <w:rPr>
          <w:rFonts w:ascii="Century Gothic" w:hAnsi="Century Gothic" w:cstheme="minorHAnsi"/>
        </w:rPr>
        <w:t xml:space="preserve"> operaciones de suministro asociadas</w:t>
      </w:r>
      <w:r w:rsidR="004F799B" w:rsidRPr="00AB3416">
        <w:rPr>
          <w:rFonts w:ascii="Century Gothic" w:hAnsi="Century Gothic" w:cstheme="minorHAnsi"/>
        </w:rPr>
        <w:t>,</w:t>
      </w:r>
      <w:r w:rsidRPr="00AB3416">
        <w:rPr>
          <w:rFonts w:ascii="Century Gothic" w:hAnsi="Century Gothic" w:cstheme="minorHAnsi"/>
        </w:rPr>
        <w:t xml:space="preserve"> otorgada</w:t>
      </w:r>
      <w:r w:rsidR="004F799B" w:rsidRPr="00AB3416">
        <w:rPr>
          <w:rFonts w:ascii="Century Gothic" w:hAnsi="Century Gothic" w:cstheme="minorHAnsi"/>
        </w:rPr>
        <w:t>s</w:t>
      </w:r>
      <w:r w:rsidRPr="00AB3416">
        <w:rPr>
          <w:rFonts w:ascii="Century Gothic" w:hAnsi="Century Gothic" w:cstheme="minorHAnsi"/>
        </w:rPr>
        <w:t xml:space="preserve"> por la Autoridad Portuaria conforme al </w:t>
      </w:r>
      <w:r w:rsidR="00AB3416" w:rsidRPr="00897ACD">
        <w:rPr>
          <w:rFonts w:ascii="Century Gothic" w:hAnsi="Century Gothic" w:cstheme="minorHAnsi"/>
        </w:rPr>
        <w:t>p</w:t>
      </w:r>
      <w:r w:rsidRPr="00897ACD">
        <w:rPr>
          <w:rFonts w:ascii="Century Gothic" w:hAnsi="Century Gothic" w:cstheme="minorHAnsi"/>
        </w:rPr>
        <w:t xml:space="preserve">resente PCP. </w:t>
      </w:r>
    </w:p>
    <w:p w14:paraId="284BA247" w14:textId="49D033E4" w:rsidR="00247685" w:rsidRPr="00897ACD" w:rsidRDefault="003073A1" w:rsidP="006965D8">
      <w:pPr>
        <w:pStyle w:val="Prrafodelista"/>
        <w:numPr>
          <w:ilvl w:val="0"/>
          <w:numId w:val="8"/>
        </w:numPr>
        <w:spacing w:line="276" w:lineRule="auto"/>
        <w:ind w:left="142" w:firstLine="0"/>
        <w:jc w:val="both"/>
        <w:rPr>
          <w:rFonts w:ascii="Century Gothic" w:hAnsi="Century Gothic" w:cstheme="minorHAnsi"/>
        </w:rPr>
      </w:pPr>
      <w:r w:rsidRPr="00897ACD">
        <w:rPr>
          <w:rFonts w:ascii="Century Gothic" w:hAnsi="Century Gothic" w:cstheme="minorHAnsi"/>
        </w:rPr>
        <w:t>La solicitud de autorización (</w:t>
      </w:r>
      <w:r w:rsidR="00897ACD" w:rsidRPr="00897ACD">
        <w:rPr>
          <w:rFonts w:ascii="Century Gothic" w:hAnsi="Century Gothic" w:cstheme="minorHAnsi"/>
        </w:rPr>
        <w:t>título habilitante) y de</w:t>
      </w:r>
      <w:r w:rsidRPr="00897ACD">
        <w:rPr>
          <w:rFonts w:ascii="Century Gothic" w:hAnsi="Century Gothic" w:cstheme="minorHAnsi"/>
        </w:rPr>
        <w:t xml:space="preserve"> </w:t>
      </w:r>
      <w:r w:rsidR="006D4453">
        <w:rPr>
          <w:rFonts w:ascii="Century Gothic" w:hAnsi="Century Gothic" w:cstheme="minorHAnsi"/>
        </w:rPr>
        <w:t xml:space="preserve">validación </w:t>
      </w:r>
      <w:r w:rsidRPr="00897ACD">
        <w:rPr>
          <w:rFonts w:ascii="Century Gothic" w:hAnsi="Century Gothic" w:cstheme="minorHAnsi"/>
        </w:rPr>
        <w:t>técnica se tramitará preferiblemente a través de medios electrónicos</w:t>
      </w:r>
      <w:r w:rsidR="00897ACD" w:rsidRPr="00897ACD">
        <w:rPr>
          <w:rFonts w:ascii="Century Gothic" w:hAnsi="Century Gothic" w:cstheme="minorHAnsi"/>
        </w:rPr>
        <w:t>.</w:t>
      </w:r>
    </w:p>
    <w:p w14:paraId="669E9211" w14:textId="578C588B" w:rsidR="0089191A" w:rsidRPr="00AB3416" w:rsidRDefault="0089191A" w:rsidP="006965D8">
      <w:pPr>
        <w:pStyle w:val="Prrafodelista"/>
        <w:numPr>
          <w:ilvl w:val="0"/>
          <w:numId w:val="8"/>
        </w:numPr>
        <w:spacing w:line="276" w:lineRule="auto"/>
        <w:ind w:left="142" w:firstLine="0"/>
        <w:jc w:val="both"/>
        <w:rPr>
          <w:rFonts w:ascii="Century Gothic" w:hAnsi="Century Gothic" w:cstheme="minorHAnsi"/>
        </w:rPr>
      </w:pPr>
      <w:r w:rsidRPr="00897ACD">
        <w:rPr>
          <w:rFonts w:ascii="Century Gothic" w:hAnsi="Century Gothic" w:cstheme="minorHAnsi"/>
        </w:rPr>
        <w:t xml:space="preserve">Los titulares de las autorizaciones </w:t>
      </w:r>
      <w:r w:rsidR="00247685" w:rsidRPr="00897ACD">
        <w:rPr>
          <w:rFonts w:ascii="Century Gothic" w:hAnsi="Century Gothic" w:cstheme="minorHAnsi"/>
        </w:rPr>
        <w:t xml:space="preserve">otorgadas </w:t>
      </w:r>
      <w:r w:rsidRPr="00897ACD">
        <w:rPr>
          <w:rFonts w:ascii="Century Gothic" w:hAnsi="Century Gothic" w:cstheme="minorHAnsi"/>
        </w:rPr>
        <w:t xml:space="preserve">prestarán </w:t>
      </w:r>
      <w:r w:rsidRPr="00AB3416">
        <w:rPr>
          <w:rFonts w:ascii="Century Gothic" w:hAnsi="Century Gothic" w:cstheme="minorHAnsi"/>
        </w:rPr>
        <w:t>el servicio según lo previsto en el Reglamento UE 2017/352</w:t>
      </w:r>
      <w:r w:rsidR="00247685" w:rsidRPr="00AB3416">
        <w:rPr>
          <w:rFonts w:ascii="Century Gothic" w:hAnsi="Century Gothic" w:cstheme="minorHAnsi"/>
        </w:rPr>
        <w:t>,</w:t>
      </w:r>
      <w:r w:rsidRPr="00AB3416">
        <w:rPr>
          <w:rFonts w:ascii="Century Gothic" w:hAnsi="Century Gothic" w:cstheme="minorHAnsi"/>
        </w:rPr>
        <w:t xml:space="preserve"> en el TRLPEMM y en las condiciones establecidas en el presente PCP, evitando en todo momento incurrir en prácticas que restrinjan la competencia.</w:t>
      </w:r>
      <w:r w:rsidR="00247685" w:rsidRPr="00AB3416">
        <w:rPr>
          <w:rFonts w:ascii="Century Gothic" w:hAnsi="Century Gothic" w:cstheme="minorHAnsi"/>
        </w:rPr>
        <w:t xml:space="preserve"> </w:t>
      </w:r>
    </w:p>
    <w:p w14:paraId="4DF1DA3A" w14:textId="7E3A499F" w:rsidR="00BB7A2A" w:rsidRPr="00AB3416" w:rsidRDefault="0089191A" w:rsidP="006965D8">
      <w:pPr>
        <w:pStyle w:val="Prrafodelista"/>
        <w:numPr>
          <w:ilvl w:val="0"/>
          <w:numId w:val="8"/>
        </w:numPr>
        <w:spacing w:line="276" w:lineRule="auto"/>
        <w:ind w:left="142" w:firstLine="0"/>
        <w:jc w:val="both"/>
        <w:rPr>
          <w:rFonts w:ascii="Century Gothic" w:hAnsi="Century Gothic" w:cstheme="minorHAnsi"/>
        </w:rPr>
      </w:pPr>
      <w:bookmarkStart w:id="20" w:name="_Hlk501626862"/>
      <w:r w:rsidRPr="00AB3416">
        <w:rPr>
          <w:rFonts w:ascii="Century Gothic" w:hAnsi="Century Gothic" w:cstheme="minorHAnsi"/>
        </w:rPr>
        <w:t>El prestador</w:t>
      </w:r>
      <w:r w:rsidR="00BB7A2A" w:rsidRPr="00AB3416">
        <w:rPr>
          <w:rFonts w:ascii="Century Gothic" w:hAnsi="Century Gothic" w:cstheme="minorHAnsi"/>
        </w:rPr>
        <w:t xml:space="preserve"> del servicio deberá atend</w:t>
      </w:r>
      <w:r w:rsidRPr="00AB3416">
        <w:rPr>
          <w:rFonts w:ascii="Century Gothic" w:hAnsi="Century Gothic" w:cstheme="minorHAnsi"/>
        </w:rPr>
        <w:t>er</w:t>
      </w:r>
      <w:r w:rsidR="00BB7A2A" w:rsidRPr="00AB3416">
        <w:rPr>
          <w:rFonts w:ascii="Century Gothic" w:hAnsi="Century Gothic" w:cstheme="minorHAnsi"/>
        </w:rPr>
        <w:t xml:space="preserve"> a las instrucciones que la Autoridad Portuaria o la Capitanía Marítima pudieran impartir por razones de seguridad del puerto y cooperación en emergencias.</w:t>
      </w:r>
    </w:p>
    <w:bookmarkEnd w:id="20"/>
    <w:p w14:paraId="10835354" w14:textId="1E2788F2" w:rsidR="00D90B4D" w:rsidRPr="00AB3416" w:rsidRDefault="00C22FD3" w:rsidP="006965D8">
      <w:pPr>
        <w:pStyle w:val="Prrafodelista"/>
        <w:numPr>
          <w:ilvl w:val="0"/>
          <w:numId w:val="8"/>
        </w:numPr>
        <w:spacing w:line="276" w:lineRule="auto"/>
        <w:ind w:left="142" w:firstLine="0"/>
        <w:jc w:val="both"/>
        <w:rPr>
          <w:rFonts w:ascii="Century Gothic" w:hAnsi="Century Gothic" w:cstheme="minorHAnsi"/>
        </w:rPr>
      </w:pPr>
      <w:r w:rsidRPr="00AB3416">
        <w:rPr>
          <w:rFonts w:ascii="Century Gothic" w:hAnsi="Century Gothic" w:cstheme="minorHAnsi"/>
        </w:rPr>
        <w:t>L</w:t>
      </w:r>
      <w:r w:rsidR="00531ECA" w:rsidRPr="00AB3416">
        <w:rPr>
          <w:rFonts w:ascii="Century Gothic" w:hAnsi="Century Gothic" w:cstheme="minorHAnsi"/>
        </w:rPr>
        <w:t xml:space="preserve">a operación </w:t>
      </w:r>
      <w:r w:rsidR="003E479B" w:rsidRPr="00AB3416">
        <w:rPr>
          <w:rFonts w:ascii="Century Gothic" w:hAnsi="Century Gothic" w:cstheme="minorHAnsi"/>
        </w:rPr>
        <w:t>ha de</w:t>
      </w:r>
      <w:r w:rsidR="00531ECA" w:rsidRPr="00AB3416">
        <w:rPr>
          <w:rFonts w:ascii="Century Gothic" w:hAnsi="Century Gothic" w:cstheme="minorHAnsi"/>
        </w:rPr>
        <w:t xml:space="preserve"> desarrollarse </w:t>
      </w:r>
      <w:r w:rsidR="009245E5" w:rsidRPr="00AB3416">
        <w:rPr>
          <w:rFonts w:ascii="Century Gothic" w:hAnsi="Century Gothic" w:cstheme="minorHAnsi"/>
        </w:rPr>
        <w:t xml:space="preserve">conforme </w:t>
      </w:r>
      <w:r w:rsidR="00D90B4D" w:rsidRPr="00AB3416">
        <w:rPr>
          <w:rFonts w:ascii="Century Gothic" w:hAnsi="Century Gothic" w:cstheme="minorHAnsi"/>
        </w:rPr>
        <w:t>a las Condiciones técnicas exigidas para llevar a cabo operaciones de suministro de combustible de GNL a buque</w:t>
      </w:r>
      <w:r w:rsidR="00AB3416" w:rsidRPr="00AB3416">
        <w:rPr>
          <w:rFonts w:ascii="Century Gothic" w:hAnsi="Century Gothic" w:cstheme="minorHAnsi"/>
        </w:rPr>
        <w:t>s</w:t>
      </w:r>
      <w:r w:rsidR="00D90B4D" w:rsidRPr="00AB3416">
        <w:rPr>
          <w:rFonts w:ascii="Century Gothic" w:hAnsi="Century Gothic" w:cstheme="minorHAnsi"/>
        </w:rPr>
        <w:t xml:space="preserve"> </w:t>
      </w:r>
      <w:r w:rsidR="00AB3416" w:rsidRPr="00AB3416">
        <w:rPr>
          <w:rFonts w:ascii="Century Gothic" w:hAnsi="Century Gothic" w:cstheme="minorHAnsi"/>
        </w:rPr>
        <w:t xml:space="preserve">que se incluyen </w:t>
      </w:r>
      <w:r w:rsidR="00D90B4D" w:rsidRPr="00AB3416">
        <w:rPr>
          <w:rFonts w:ascii="Century Gothic" w:hAnsi="Century Gothic" w:cstheme="minorHAnsi"/>
        </w:rPr>
        <w:t xml:space="preserve">en </w:t>
      </w:r>
      <w:r w:rsidR="00AC0682">
        <w:rPr>
          <w:rFonts w:ascii="Century Gothic" w:hAnsi="Century Gothic" w:cstheme="minorHAnsi"/>
        </w:rPr>
        <w:t>los</w:t>
      </w:r>
      <w:r w:rsidR="00D90B4D" w:rsidRPr="00AB3416">
        <w:rPr>
          <w:rFonts w:ascii="Century Gothic" w:hAnsi="Century Gothic" w:cstheme="minorHAnsi"/>
        </w:rPr>
        <w:t xml:space="preserve"> </w:t>
      </w:r>
      <w:r w:rsidR="00D90B4D" w:rsidRPr="00AF75E1">
        <w:rPr>
          <w:rFonts w:ascii="Century Gothic" w:hAnsi="Century Gothic" w:cstheme="minorHAnsi"/>
          <w:b/>
          <w:bCs/>
        </w:rPr>
        <w:t>Anexo</w:t>
      </w:r>
      <w:r w:rsidR="00AC0682">
        <w:rPr>
          <w:rFonts w:ascii="Century Gothic" w:hAnsi="Century Gothic" w:cstheme="minorHAnsi"/>
          <w:b/>
          <w:bCs/>
        </w:rPr>
        <w:t>s</w:t>
      </w:r>
      <w:r w:rsidR="00D90B4D" w:rsidRPr="00AF75E1">
        <w:rPr>
          <w:rFonts w:ascii="Century Gothic" w:hAnsi="Century Gothic" w:cstheme="minorHAnsi"/>
          <w:b/>
          <w:bCs/>
        </w:rPr>
        <w:t xml:space="preserve"> I</w:t>
      </w:r>
      <w:r w:rsidR="00AB3416" w:rsidRPr="00AF75E1">
        <w:rPr>
          <w:rFonts w:ascii="Century Gothic" w:hAnsi="Century Gothic" w:cstheme="minorHAnsi"/>
          <w:b/>
          <w:bCs/>
        </w:rPr>
        <w:t xml:space="preserve"> </w:t>
      </w:r>
      <w:r w:rsidR="00AC0682">
        <w:rPr>
          <w:rFonts w:ascii="Century Gothic" w:hAnsi="Century Gothic" w:cstheme="minorHAnsi"/>
          <w:b/>
          <w:bCs/>
        </w:rPr>
        <w:t xml:space="preserve">y II </w:t>
      </w:r>
      <w:r w:rsidR="00AB3416" w:rsidRPr="00AF75E1">
        <w:rPr>
          <w:rFonts w:ascii="Century Gothic" w:hAnsi="Century Gothic" w:cstheme="minorHAnsi"/>
          <w:b/>
          <w:bCs/>
        </w:rPr>
        <w:t>de este PCP</w:t>
      </w:r>
      <w:r w:rsidR="00AC0682">
        <w:rPr>
          <w:rFonts w:ascii="Century Gothic" w:hAnsi="Century Gothic" w:cstheme="minorHAnsi"/>
          <w:b/>
          <w:bCs/>
        </w:rPr>
        <w:t>,</w:t>
      </w:r>
      <w:r w:rsidR="00AB3416" w:rsidRPr="00AB3416">
        <w:rPr>
          <w:rFonts w:ascii="Century Gothic" w:hAnsi="Century Gothic" w:cstheme="minorHAnsi"/>
        </w:rPr>
        <w:t xml:space="preserve"> conforme a</w:t>
      </w:r>
      <w:r w:rsidR="00AB3416" w:rsidRPr="003073A1">
        <w:rPr>
          <w:rFonts w:ascii="Century Gothic" w:hAnsi="Century Gothic"/>
        </w:rPr>
        <w:t xml:space="preserve"> l</w:t>
      </w:r>
      <w:r w:rsidR="007B67C0">
        <w:rPr>
          <w:rFonts w:ascii="Century Gothic" w:hAnsi="Century Gothic"/>
        </w:rPr>
        <w:t>as normas ISO aplicables a la actividad</w:t>
      </w:r>
      <w:r w:rsidR="0037383E">
        <w:rPr>
          <w:rFonts w:ascii="Century Gothic" w:hAnsi="Century Gothic"/>
        </w:rPr>
        <w:t xml:space="preserve">, así como a </w:t>
      </w:r>
      <w:r w:rsidR="007B67C0">
        <w:rPr>
          <w:rFonts w:ascii="Century Gothic" w:hAnsi="Century Gothic"/>
        </w:rPr>
        <w:t>los</w:t>
      </w:r>
      <w:r w:rsidR="00AB3416" w:rsidRPr="003073A1">
        <w:rPr>
          <w:rFonts w:ascii="Century Gothic" w:hAnsi="Century Gothic"/>
        </w:rPr>
        <w:t xml:space="preserve"> procedimientos descritos en la</w:t>
      </w:r>
      <w:r w:rsidR="007B67C0">
        <w:rPr>
          <w:rFonts w:ascii="Century Gothic" w:hAnsi="Century Gothic"/>
        </w:rPr>
        <w:t>s</w:t>
      </w:r>
      <w:r w:rsidR="00AB3416" w:rsidRPr="003073A1">
        <w:rPr>
          <w:rFonts w:ascii="Century Gothic" w:hAnsi="Century Gothic"/>
        </w:rPr>
        <w:t xml:space="preserve"> última</w:t>
      </w:r>
      <w:r w:rsidR="007B67C0">
        <w:rPr>
          <w:rFonts w:ascii="Century Gothic" w:hAnsi="Century Gothic"/>
        </w:rPr>
        <w:t>s</w:t>
      </w:r>
      <w:r w:rsidR="00AB3416" w:rsidRPr="003073A1">
        <w:rPr>
          <w:rFonts w:ascii="Century Gothic" w:hAnsi="Century Gothic"/>
        </w:rPr>
        <w:t xml:space="preserve"> versi</w:t>
      </w:r>
      <w:r w:rsidR="007B67C0">
        <w:rPr>
          <w:rFonts w:ascii="Century Gothic" w:hAnsi="Century Gothic"/>
        </w:rPr>
        <w:t>ones</w:t>
      </w:r>
      <w:r w:rsidR="00AB3416" w:rsidRPr="003073A1">
        <w:rPr>
          <w:rFonts w:ascii="Century Gothic" w:hAnsi="Century Gothic"/>
        </w:rPr>
        <w:t xml:space="preserve"> disponible</w:t>
      </w:r>
      <w:r w:rsidR="007B67C0">
        <w:rPr>
          <w:rFonts w:ascii="Century Gothic" w:hAnsi="Century Gothic"/>
        </w:rPr>
        <w:t>s</w:t>
      </w:r>
      <w:r w:rsidR="00AB3416" w:rsidRPr="003073A1">
        <w:rPr>
          <w:rFonts w:ascii="Century Gothic" w:hAnsi="Century Gothic"/>
        </w:rPr>
        <w:t xml:space="preserve"> de la</w:t>
      </w:r>
      <w:r w:rsidR="007B67C0">
        <w:rPr>
          <w:rFonts w:ascii="Century Gothic" w:hAnsi="Century Gothic"/>
        </w:rPr>
        <w:t xml:space="preserve">s </w:t>
      </w:r>
      <w:r w:rsidR="0037383E">
        <w:rPr>
          <w:rFonts w:ascii="Century Gothic" w:hAnsi="Century Gothic"/>
        </w:rPr>
        <w:t>guías de la</w:t>
      </w:r>
      <w:r w:rsidR="007B67C0">
        <w:rPr>
          <w:rFonts w:ascii="Century Gothic" w:hAnsi="Century Gothic"/>
        </w:rPr>
        <w:t xml:space="preserve"> </w:t>
      </w:r>
      <w:r w:rsidR="0037383E" w:rsidRPr="00BF15B5">
        <w:rPr>
          <w:rFonts w:ascii="Century Gothic" w:hAnsi="Century Gothic"/>
        </w:rPr>
        <w:t>Asociación Internacional de Puertos y Terminales (IAPH</w:t>
      </w:r>
      <w:r w:rsidR="0037383E" w:rsidRPr="0037383E">
        <w:rPr>
          <w:rFonts w:ascii="Century Gothic" w:hAnsi="Century Gothic"/>
        </w:rPr>
        <w:t>)</w:t>
      </w:r>
      <w:r w:rsidR="0037383E">
        <w:rPr>
          <w:rFonts w:ascii="Century Gothic" w:hAnsi="Century Gothic"/>
        </w:rPr>
        <w:t xml:space="preserve">, observando en todo caso la normativa en materia de riesgos y seguridad asociada a </w:t>
      </w:r>
      <w:r w:rsidR="00AB3416" w:rsidRPr="003073A1">
        <w:rPr>
          <w:rFonts w:ascii="Century Gothic" w:hAnsi="Century Gothic"/>
        </w:rPr>
        <w:t>las operaciones de suministro d</w:t>
      </w:r>
      <w:r w:rsidR="004F19DB">
        <w:rPr>
          <w:rFonts w:ascii="Century Gothic" w:hAnsi="Century Gothic"/>
        </w:rPr>
        <w:t>e</w:t>
      </w:r>
      <w:r w:rsidR="00AB3416" w:rsidRPr="003073A1">
        <w:rPr>
          <w:rFonts w:ascii="Century Gothic" w:hAnsi="Century Gothic"/>
        </w:rPr>
        <w:t xml:space="preserve"> GNL. </w:t>
      </w:r>
      <w:r w:rsidR="00D90B4D" w:rsidRPr="00AB3416">
        <w:rPr>
          <w:rFonts w:ascii="Century Gothic" w:hAnsi="Century Gothic" w:cstheme="minorHAnsi"/>
        </w:rPr>
        <w:t xml:space="preserve"> </w:t>
      </w:r>
    </w:p>
    <w:p w14:paraId="04C5A86C" w14:textId="0743D2A4" w:rsidR="00777A3D" w:rsidRPr="00CE6C7E" w:rsidRDefault="00262E29" w:rsidP="008846DB">
      <w:pPr>
        <w:spacing w:line="276" w:lineRule="auto"/>
        <w:ind w:left="142"/>
        <w:jc w:val="both"/>
        <w:rPr>
          <w:rFonts w:ascii="Century Gothic" w:hAnsi="Century Gothic" w:cstheme="minorHAnsi"/>
        </w:rPr>
      </w:pPr>
      <w:r>
        <w:rPr>
          <w:rFonts w:ascii="Century Gothic" w:hAnsi="Century Gothic"/>
        </w:rPr>
        <w:t>6</w:t>
      </w:r>
      <w:r w:rsidR="00AB3416">
        <w:rPr>
          <w:rFonts w:ascii="Century Gothic" w:hAnsi="Century Gothic"/>
        </w:rPr>
        <w:t xml:space="preserve">. </w:t>
      </w:r>
      <w:r w:rsidR="00940DB0">
        <w:rPr>
          <w:rFonts w:ascii="Century Gothic" w:hAnsi="Century Gothic" w:cstheme="minorHAnsi"/>
        </w:rPr>
        <w:t>En el ejercicio de la actividad h</w:t>
      </w:r>
      <w:r w:rsidR="009245E5" w:rsidRPr="0072087D">
        <w:rPr>
          <w:rFonts w:ascii="Century Gothic" w:hAnsi="Century Gothic" w:cstheme="minorHAnsi"/>
        </w:rPr>
        <w:t>abrá de contemplarse</w:t>
      </w:r>
      <w:r w:rsidR="0089191A">
        <w:rPr>
          <w:rFonts w:ascii="Century Gothic" w:hAnsi="Century Gothic" w:cstheme="minorHAnsi"/>
        </w:rPr>
        <w:t xml:space="preserve"> también</w:t>
      </w:r>
      <w:r w:rsidR="00C57053" w:rsidRPr="0072087D">
        <w:rPr>
          <w:rFonts w:ascii="Century Gothic" w:hAnsi="Century Gothic" w:cstheme="minorHAnsi"/>
        </w:rPr>
        <w:t xml:space="preserve"> la normativa</w:t>
      </w:r>
      <w:r w:rsidR="00DF113C" w:rsidRPr="0072087D">
        <w:rPr>
          <w:rFonts w:ascii="Century Gothic" w:hAnsi="Century Gothic" w:cstheme="minorHAnsi"/>
        </w:rPr>
        <w:t xml:space="preserve"> de la </w:t>
      </w:r>
      <w:r w:rsidR="006274CD" w:rsidRPr="0072087D">
        <w:rPr>
          <w:rFonts w:ascii="Century Gothic" w:hAnsi="Century Gothic" w:cstheme="minorHAnsi"/>
        </w:rPr>
        <w:t>Organización Marítima Internacional</w:t>
      </w:r>
      <w:r w:rsidR="00DF113C" w:rsidRPr="0072087D">
        <w:rPr>
          <w:rFonts w:ascii="Century Gothic" w:hAnsi="Century Gothic" w:cstheme="minorHAnsi"/>
        </w:rPr>
        <w:t xml:space="preserve"> (en adelante, OMI)</w:t>
      </w:r>
      <w:r w:rsidR="006274CD" w:rsidRPr="0072087D">
        <w:rPr>
          <w:rFonts w:ascii="Century Gothic" w:hAnsi="Century Gothic" w:cstheme="minorHAnsi"/>
        </w:rPr>
        <w:t xml:space="preserve"> </w:t>
      </w:r>
      <w:r w:rsidR="00C57053" w:rsidRPr="0072087D">
        <w:rPr>
          <w:rFonts w:ascii="Century Gothic" w:hAnsi="Century Gothic" w:cstheme="minorHAnsi"/>
        </w:rPr>
        <w:t>relacionad</w:t>
      </w:r>
      <w:r w:rsidR="009D4AF8">
        <w:rPr>
          <w:rFonts w:ascii="Century Gothic" w:hAnsi="Century Gothic" w:cstheme="minorHAnsi"/>
        </w:rPr>
        <w:t>a</w:t>
      </w:r>
      <w:r w:rsidR="00C57053" w:rsidRPr="0072087D">
        <w:rPr>
          <w:rFonts w:ascii="Century Gothic" w:hAnsi="Century Gothic" w:cstheme="minorHAnsi"/>
        </w:rPr>
        <w:t xml:space="preserve"> con </w:t>
      </w:r>
      <w:r w:rsidR="0056199A">
        <w:rPr>
          <w:rFonts w:ascii="Century Gothic" w:hAnsi="Century Gothic" w:cstheme="minorHAnsi"/>
        </w:rPr>
        <w:t xml:space="preserve">el </w:t>
      </w:r>
      <w:r w:rsidR="009245E5" w:rsidRPr="0072087D">
        <w:rPr>
          <w:rFonts w:ascii="Century Gothic" w:hAnsi="Century Gothic" w:cstheme="minorHAnsi"/>
        </w:rPr>
        <w:t>suministro de combustible</w:t>
      </w:r>
      <w:r w:rsidR="00531ECA" w:rsidRPr="0072087D">
        <w:rPr>
          <w:rFonts w:ascii="Century Gothic" w:hAnsi="Century Gothic" w:cstheme="minorHAnsi"/>
        </w:rPr>
        <w:t>.</w:t>
      </w:r>
      <w:r w:rsidR="0072087D" w:rsidRPr="0072087D">
        <w:rPr>
          <w:rFonts w:ascii="Century Gothic" w:hAnsi="Century Gothic" w:cstheme="minorHAnsi"/>
        </w:rPr>
        <w:t xml:space="preserve"> </w:t>
      </w:r>
      <w:r w:rsidR="00777A3D" w:rsidRPr="0072087D">
        <w:rPr>
          <w:rFonts w:ascii="Century Gothic" w:hAnsi="Century Gothic" w:cstheme="minorHAnsi"/>
        </w:rPr>
        <w:t>De acuerdo con el Anexo VI del Convenio MARPOL, los pormenores relativos al combustible entregado se registrarán en una nota de entrega de combustible</w:t>
      </w:r>
      <w:r w:rsidR="00B62EAA">
        <w:rPr>
          <w:rFonts w:ascii="Century Gothic" w:hAnsi="Century Gothic" w:cstheme="minorHAnsi"/>
        </w:rPr>
        <w:t xml:space="preserve"> (</w:t>
      </w:r>
      <w:r w:rsidR="00B62EAA" w:rsidRPr="00FF1037">
        <w:rPr>
          <w:rFonts w:ascii="Century Gothic" w:hAnsi="Century Gothic" w:cstheme="minorHAnsi"/>
          <w:i/>
          <w:iCs/>
        </w:rPr>
        <w:t>bunker delivery note</w:t>
      </w:r>
      <w:r w:rsidR="00B23AE1">
        <w:rPr>
          <w:rFonts w:ascii="Century Gothic" w:hAnsi="Century Gothic" w:cstheme="minorHAnsi"/>
          <w:i/>
          <w:iCs/>
        </w:rPr>
        <w:t>, BDN</w:t>
      </w:r>
      <w:r w:rsidR="00B62EAA">
        <w:rPr>
          <w:rFonts w:ascii="Century Gothic" w:hAnsi="Century Gothic" w:cstheme="minorHAnsi"/>
        </w:rPr>
        <w:t>)</w:t>
      </w:r>
      <w:r w:rsidR="00C95F5F" w:rsidRPr="0072087D">
        <w:rPr>
          <w:rFonts w:ascii="Century Gothic" w:hAnsi="Century Gothic" w:cstheme="minorHAnsi"/>
        </w:rPr>
        <w:t xml:space="preserve"> </w:t>
      </w:r>
      <w:r w:rsidR="00777A3D" w:rsidRPr="0072087D">
        <w:rPr>
          <w:rFonts w:ascii="Century Gothic" w:hAnsi="Century Gothic" w:cstheme="minorHAnsi"/>
        </w:rPr>
        <w:t>que contendrá</w:t>
      </w:r>
      <w:r w:rsidR="00494F20" w:rsidRPr="0072087D">
        <w:rPr>
          <w:rFonts w:ascii="Century Gothic" w:hAnsi="Century Gothic" w:cstheme="minorHAnsi"/>
        </w:rPr>
        <w:t xml:space="preserve"> </w:t>
      </w:r>
      <w:r w:rsidR="00777A3D" w:rsidRPr="0072087D">
        <w:rPr>
          <w:rFonts w:ascii="Century Gothic" w:hAnsi="Century Gothic" w:cstheme="minorHAnsi"/>
        </w:rPr>
        <w:t xml:space="preserve">la información especificada en el </w:t>
      </w:r>
      <w:r w:rsidR="00494F20" w:rsidRPr="0072087D">
        <w:rPr>
          <w:rFonts w:ascii="Century Gothic" w:hAnsi="Century Gothic" w:cstheme="minorHAnsi"/>
        </w:rPr>
        <w:t xml:space="preserve">citado </w:t>
      </w:r>
      <w:r w:rsidR="00777A3D" w:rsidRPr="0072087D">
        <w:rPr>
          <w:rFonts w:ascii="Century Gothic" w:hAnsi="Century Gothic" w:cstheme="minorHAnsi"/>
        </w:rPr>
        <w:t>Anexo VI del Convenio MARPOL</w:t>
      </w:r>
      <w:r w:rsidR="00311D59">
        <w:rPr>
          <w:rFonts w:ascii="Century Gothic" w:hAnsi="Century Gothic" w:cstheme="minorHAnsi"/>
        </w:rPr>
        <w:t xml:space="preserve"> y en la normativa europea aplicable a la actividad</w:t>
      </w:r>
      <w:r w:rsidR="00466CD2">
        <w:rPr>
          <w:rFonts w:ascii="Century Gothic" w:hAnsi="Century Gothic" w:cstheme="minorHAnsi"/>
        </w:rPr>
        <w:t xml:space="preserve">. </w:t>
      </w:r>
      <w:r w:rsidR="002030DF" w:rsidRPr="003D3209">
        <w:rPr>
          <w:rFonts w:ascii="Century Gothic" w:hAnsi="Century Gothic" w:cstheme="minorHAnsi"/>
        </w:rPr>
        <w:t xml:space="preserve">En el caso de los suministros PTS efectuados en terminales </w:t>
      </w:r>
      <w:r w:rsidR="002030DF" w:rsidRPr="00CE6C7E">
        <w:rPr>
          <w:rFonts w:ascii="Century Gothic" w:hAnsi="Century Gothic" w:cstheme="minorHAnsi"/>
        </w:rPr>
        <w:t>de regasificación de GNL, la información de entrega deberá registrarse de acuerdo con el formato y los requisitos establecidos en la normativa gasista vigente para las operaciones de carga de GNL.</w:t>
      </w:r>
    </w:p>
    <w:p w14:paraId="209CC680" w14:textId="77777777" w:rsidR="00E96E63" w:rsidRPr="00CE6C7E" w:rsidRDefault="00E96E63" w:rsidP="006965D8">
      <w:pPr>
        <w:pStyle w:val="Prrafodelista"/>
        <w:numPr>
          <w:ilvl w:val="0"/>
          <w:numId w:val="16"/>
        </w:numPr>
        <w:spacing w:line="276" w:lineRule="auto"/>
        <w:ind w:left="142" w:firstLine="0"/>
        <w:jc w:val="both"/>
        <w:rPr>
          <w:rFonts w:ascii="Century Gothic" w:hAnsi="Century Gothic" w:cstheme="minorHAnsi"/>
        </w:rPr>
      </w:pPr>
      <w:r w:rsidRPr="00CE6C7E">
        <w:rPr>
          <w:rFonts w:ascii="Century Gothic" w:hAnsi="Century Gothic" w:cstheme="minorHAnsi"/>
        </w:rPr>
        <w:t xml:space="preserve">Los medios exigidos a cada titular de autorización serán aquellos que garanticen la prestación del servicio en condiciones normales y seguras, conforme a la legislación vigente y a las normas de calidad y seguridad relacionadas con la actividad, para todas las fases de la operación de suministro de GNL. </w:t>
      </w:r>
      <w:bookmarkStart w:id="21" w:name="_Hlk151639533"/>
    </w:p>
    <w:bookmarkEnd w:id="21"/>
    <w:p w14:paraId="4E7D722C" w14:textId="2255E91A" w:rsidR="00E96E63" w:rsidRPr="00BB7A2A" w:rsidRDefault="00E96E63" w:rsidP="006965D8">
      <w:pPr>
        <w:pStyle w:val="Prrafodelista"/>
        <w:numPr>
          <w:ilvl w:val="0"/>
          <w:numId w:val="16"/>
        </w:numPr>
        <w:spacing w:line="276" w:lineRule="auto"/>
        <w:ind w:left="142" w:firstLine="0"/>
        <w:jc w:val="both"/>
        <w:rPr>
          <w:rFonts w:ascii="Century Gothic" w:hAnsi="Century Gothic" w:cstheme="minorHAnsi"/>
        </w:rPr>
      </w:pPr>
      <w:r w:rsidRPr="00CE6C7E">
        <w:rPr>
          <w:rFonts w:ascii="Century Gothic" w:hAnsi="Century Gothic" w:cstheme="minorHAnsi"/>
        </w:rPr>
        <w:t xml:space="preserve">El personal tendrá una formación y cualificación profesional acordes con sus funciones, debiendo estar en posesión de las titulaciones y de las certificaciones que la normativa </w:t>
      </w:r>
      <w:r w:rsidRPr="00FF1037">
        <w:rPr>
          <w:rFonts w:ascii="Century Gothic" w:hAnsi="Century Gothic" w:cstheme="minorHAnsi"/>
        </w:rPr>
        <w:t>en vigor imponga. La empresa autorizada para la prestación del servicio cumplirá la legislación vigente</w:t>
      </w:r>
      <w:r w:rsidRPr="00BB7A2A">
        <w:rPr>
          <w:rFonts w:ascii="Century Gothic" w:hAnsi="Century Gothic" w:cstheme="minorHAnsi"/>
        </w:rPr>
        <w:t xml:space="preserve"> en cada momento y deberá velar porque los trabajadores reciban la formación continua necesaria para adquirir los conocimientos esenciales para el ejercicio de su función, así como para intervención en emergencias.</w:t>
      </w:r>
    </w:p>
    <w:p w14:paraId="3D91DD8C" w14:textId="77777777" w:rsidR="00E96E63" w:rsidRPr="00BB7A2A" w:rsidRDefault="00E96E63" w:rsidP="006965D8">
      <w:pPr>
        <w:pStyle w:val="Prrafodelista"/>
        <w:numPr>
          <w:ilvl w:val="0"/>
          <w:numId w:val="16"/>
        </w:numPr>
        <w:spacing w:line="276" w:lineRule="auto"/>
        <w:ind w:left="142" w:firstLine="0"/>
        <w:jc w:val="both"/>
        <w:rPr>
          <w:rFonts w:ascii="Century Gothic" w:hAnsi="Century Gothic" w:cstheme="minorHAnsi"/>
        </w:rPr>
      </w:pPr>
      <w:r w:rsidRPr="00BB7A2A">
        <w:rPr>
          <w:rFonts w:ascii="Century Gothic" w:hAnsi="Century Gothic" w:cstheme="minorHAnsi"/>
        </w:rPr>
        <w:t>El personal deberá conocer los medios de los que dispone la empresa destinados a las labores de salvamento, extinción de incendios, lucha contra la contaminación y a la prevención y control de emergencias, así como su localización, y estará entrenado para su eficaz utilización.</w:t>
      </w:r>
    </w:p>
    <w:p w14:paraId="1FED27D1" w14:textId="77777777" w:rsidR="00E96E63" w:rsidRPr="00BB7A2A" w:rsidRDefault="00E96E63" w:rsidP="006965D8">
      <w:pPr>
        <w:pStyle w:val="Prrafodelista"/>
        <w:numPr>
          <w:ilvl w:val="0"/>
          <w:numId w:val="16"/>
        </w:numPr>
        <w:spacing w:line="276" w:lineRule="auto"/>
        <w:ind w:left="142" w:firstLine="0"/>
        <w:jc w:val="both"/>
        <w:rPr>
          <w:rFonts w:ascii="Century Gothic" w:hAnsi="Century Gothic" w:cstheme="minorHAnsi"/>
        </w:rPr>
      </w:pPr>
      <w:r w:rsidRPr="00BB7A2A">
        <w:rPr>
          <w:rFonts w:ascii="Century Gothic" w:hAnsi="Century Gothic" w:cstheme="minorHAnsi"/>
        </w:rPr>
        <w:lastRenderedPageBreak/>
        <w:t>El personal estará vinculado al prestador a través de las distintas modalidades contractuales vigentes, sin que exista relación laboral alguna con la Autoridad Portuaria.</w:t>
      </w:r>
    </w:p>
    <w:p w14:paraId="42BAACAD" w14:textId="5DCA36F2" w:rsidR="00923EDC" w:rsidRPr="00BB7A2A" w:rsidRDefault="00157B6C" w:rsidP="006965D8">
      <w:pPr>
        <w:pStyle w:val="Prrafodelista"/>
        <w:numPr>
          <w:ilvl w:val="0"/>
          <w:numId w:val="16"/>
        </w:numPr>
        <w:spacing w:line="276" w:lineRule="auto"/>
        <w:ind w:left="142" w:firstLine="0"/>
        <w:jc w:val="both"/>
        <w:rPr>
          <w:rFonts w:ascii="Century Gothic" w:hAnsi="Century Gothic" w:cstheme="minorHAnsi"/>
        </w:rPr>
      </w:pPr>
      <w:r w:rsidRPr="00BB7A2A">
        <w:rPr>
          <w:rFonts w:ascii="Century Gothic" w:hAnsi="Century Gothic" w:cstheme="minorHAnsi"/>
        </w:rPr>
        <w:t>La</w:t>
      </w:r>
      <w:r w:rsidR="00923EDC" w:rsidRPr="00BB7A2A">
        <w:rPr>
          <w:rFonts w:ascii="Century Gothic" w:hAnsi="Century Gothic" w:cstheme="minorHAnsi"/>
        </w:rPr>
        <w:t xml:space="preserve"> navegaci</w:t>
      </w:r>
      <w:r w:rsidRPr="00BB7A2A">
        <w:rPr>
          <w:rFonts w:ascii="Century Gothic" w:hAnsi="Century Gothic" w:cstheme="minorHAnsi"/>
        </w:rPr>
        <w:t>ón</w:t>
      </w:r>
      <w:r w:rsidR="00923EDC" w:rsidRPr="00BB7A2A">
        <w:rPr>
          <w:rFonts w:ascii="Century Gothic" w:hAnsi="Century Gothic" w:cstheme="minorHAnsi"/>
        </w:rPr>
        <w:t xml:space="preserve"> por las aguas interiores portuarias de las embarcaciones destinadas a este servicio no deberá superar la velocidad máxima establecida en las Ordenanzas </w:t>
      </w:r>
      <w:r w:rsidR="00D42EDD">
        <w:rPr>
          <w:rFonts w:ascii="Century Gothic" w:hAnsi="Century Gothic" w:cstheme="minorHAnsi"/>
        </w:rPr>
        <w:t xml:space="preserve">Marítimas y </w:t>
      </w:r>
      <w:r w:rsidR="00923EDC" w:rsidRPr="00BB7A2A">
        <w:rPr>
          <w:rFonts w:ascii="Century Gothic" w:hAnsi="Century Gothic" w:cstheme="minorHAnsi"/>
        </w:rPr>
        <w:t>Portuarias. En cualquier caso, y salvo caso de fuerza mayor, deberán realizarse a una velocidad que no favorezca la generación de oleaje que perturbe el normal amarre y operativa de las embarcaciones atracadas en muelles adyacentes o fondeadas en las proximidades.</w:t>
      </w:r>
    </w:p>
    <w:p w14:paraId="4A8BC5AD" w14:textId="77777777" w:rsidR="008904A1" w:rsidRPr="00D36588" w:rsidRDefault="008904A1" w:rsidP="006965D8">
      <w:pPr>
        <w:pStyle w:val="Ttulo2"/>
        <w:numPr>
          <w:ilvl w:val="0"/>
          <w:numId w:val="11"/>
        </w:numPr>
        <w:spacing w:line="276" w:lineRule="auto"/>
        <w:jc w:val="both"/>
        <w:rPr>
          <w:rFonts w:ascii="Century Gothic" w:hAnsi="Century Gothic" w:cstheme="minorHAnsi"/>
        </w:rPr>
      </w:pPr>
      <w:bookmarkStart w:id="22" w:name="_Toc230677706"/>
      <w:r w:rsidRPr="003847F5">
        <w:rPr>
          <w:rFonts w:ascii="Century Gothic" w:hAnsi="Century Gothic" w:cstheme="minorHAnsi"/>
        </w:rPr>
        <w:t>C</w:t>
      </w:r>
      <w:r w:rsidRPr="00D36588">
        <w:rPr>
          <w:rFonts w:ascii="Century Gothic" w:hAnsi="Century Gothic" w:cstheme="minorHAnsi"/>
        </w:rPr>
        <w:t>ondiciones para garantizar la calidad ambiental del servicio</w:t>
      </w:r>
      <w:bookmarkEnd w:id="22"/>
    </w:p>
    <w:p w14:paraId="6F2B4900" w14:textId="77777777" w:rsidR="008904A1" w:rsidRPr="00F062F1" w:rsidRDefault="008904A1" w:rsidP="006965D8">
      <w:pPr>
        <w:pStyle w:val="Prrafodelista"/>
        <w:numPr>
          <w:ilvl w:val="0"/>
          <w:numId w:val="7"/>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Las empresas </w:t>
      </w:r>
      <w:r>
        <w:rPr>
          <w:rFonts w:ascii="Century Gothic" w:eastAsia="Times New Roman" w:hAnsi="Century Gothic" w:cstheme="minorHAnsi"/>
          <w:bCs/>
          <w:lang w:eastAsia="es-ES"/>
        </w:rPr>
        <w:t>autorizadas</w:t>
      </w:r>
      <w:r w:rsidRPr="00F062F1">
        <w:rPr>
          <w:rFonts w:ascii="Century Gothic" w:eastAsia="Times New Roman" w:hAnsi="Century Gothic" w:cstheme="minorHAnsi"/>
          <w:bCs/>
          <w:lang w:eastAsia="es-ES"/>
        </w:rPr>
        <w:t xml:space="preserve"> deberán cumplir la normativa aplicable en materia medioambiental, las normas medioambientales específicas que, en su caso, se establezcan en el Reglamento de Explotación y Policía, en las Ordenanzas Portuarias y en las instrucciones que pueda dictar la </w:t>
      </w:r>
      <w:r>
        <w:rPr>
          <w:rFonts w:ascii="Century Gothic" w:eastAsia="Times New Roman" w:hAnsi="Century Gothic" w:cstheme="minorHAnsi"/>
          <w:bCs/>
          <w:lang w:eastAsia="es-ES"/>
        </w:rPr>
        <w:t xml:space="preserve">Dirección General de la Marina Mercante, la Capitanía Marítima y la </w:t>
      </w:r>
      <w:r w:rsidRPr="00F062F1">
        <w:rPr>
          <w:rFonts w:ascii="Century Gothic" w:eastAsia="Times New Roman" w:hAnsi="Century Gothic" w:cstheme="minorHAnsi"/>
          <w:bCs/>
          <w:lang w:eastAsia="es-ES"/>
        </w:rPr>
        <w:t>Autoridad Portuaria, así como en los sistemas de gestión ambiental que pudiera</w:t>
      </w:r>
      <w:r>
        <w:rPr>
          <w:rFonts w:ascii="Century Gothic" w:eastAsia="Times New Roman" w:hAnsi="Century Gothic" w:cstheme="minorHAnsi"/>
          <w:bCs/>
          <w:lang w:eastAsia="es-ES"/>
        </w:rPr>
        <w:t>n resultar aprobados</w:t>
      </w:r>
      <w:r w:rsidRPr="00F062F1">
        <w:rPr>
          <w:rFonts w:ascii="Century Gothic" w:eastAsia="Times New Roman" w:hAnsi="Century Gothic" w:cstheme="minorHAnsi"/>
          <w:bCs/>
          <w:lang w:eastAsia="es-ES"/>
        </w:rPr>
        <w:t>, con arreglo a los objetivos e indicadores de sostenibilidad ambiental</w:t>
      </w:r>
      <w:r>
        <w:rPr>
          <w:rFonts w:ascii="Century Gothic" w:eastAsia="Times New Roman" w:hAnsi="Century Gothic" w:cstheme="minorHAnsi"/>
          <w:bCs/>
          <w:lang w:eastAsia="es-ES"/>
        </w:rPr>
        <w:t>. El autorizado será</w:t>
      </w:r>
      <w:r w:rsidRPr="00F062F1">
        <w:rPr>
          <w:rFonts w:ascii="Century Gothic" w:eastAsia="Times New Roman" w:hAnsi="Century Gothic" w:cstheme="minorHAnsi"/>
          <w:bCs/>
          <w:lang w:eastAsia="es-ES"/>
        </w:rPr>
        <w:t xml:space="preserve"> responsable de adoptar las medidas necesarias para prevenir y para paliar los efectos medioambientales resultantes de la prestación</w:t>
      </w:r>
      <w:r>
        <w:rPr>
          <w:rFonts w:ascii="Century Gothic" w:eastAsia="Times New Roman" w:hAnsi="Century Gothic" w:cstheme="minorHAnsi"/>
          <w:bCs/>
          <w:lang w:eastAsia="es-ES"/>
        </w:rPr>
        <w:t xml:space="preserve"> del servicio</w:t>
      </w:r>
      <w:r w:rsidRPr="00F062F1">
        <w:rPr>
          <w:rFonts w:ascii="Century Gothic" w:eastAsia="Times New Roman" w:hAnsi="Century Gothic" w:cstheme="minorHAnsi"/>
          <w:bCs/>
          <w:lang w:eastAsia="es-ES"/>
        </w:rPr>
        <w:t xml:space="preserve">. </w:t>
      </w:r>
    </w:p>
    <w:p w14:paraId="1056E25F" w14:textId="472EBDD8" w:rsidR="00714A80" w:rsidRDefault="008904A1" w:rsidP="006965D8">
      <w:pPr>
        <w:pStyle w:val="Prrafodelista"/>
        <w:numPr>
          <w:ilvl w:val="0"/>
          <w:numId w:val="7"/>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Las empresas </w:t>
      </w:r>
      <w:r>
        <w:rPr>
          <w:rFonts w:ascii="Century Gothic" w:eastAsia="Times New Roman" w:hAnsi="Century Gothic" w:cstheme="minorHAnsi"/>
          <w:bCs/>
          <w:lang w:eastAsia="es-ES"/>
        </w:rPr>
        <w:t>autorizadas</w:t>
      </w:r>
      <w:r w:rsidRPr="00F062F1">
        <w:rPr>
          <w:rFonts w:ascii="Century Gothic" w:eastAsia="Times New Roman" w:hAnsi="Century Gothic" w:cstheme="minorHAnsi"/>
          <w:bCs/>
          <w:lang w:eastAsia="es-ES"/>
        </w:rPr>
        <w:t xml:space="preserve"> deberán realizar una evaluación de riesgos y proveerán las garantías financieras que en su caso sean de aplicación conforme a la Ley 26/2007, </w:t>
      </w:r>
      <w:r>
        <w:rPr>
          <w:rFonts w:ascii="Century Gothic" w:eastAsia="Times New Roman" w:hAnsi="Century Gothic" w:cstheme="minorHAnsi"/>
          <w:bCs/>
          <w:lang w:eastAsia="es-ES"/>
        </w:rPr>
        <w:t xml:space="preserve">de 23 de octubre, </w:t>
      </w:r>
      <w:r w:rsidRPr="00F062F1">
        <w:rPr>
          <w:rFonts w:ascii="Century Gothic" w:eastAsia="Times New Roman" w:hAnsi="Century Gothic" w:cstheme="minorHAnsi"/>
          <w:bCs/>
          <w:lang w:eastAsia="es-ES"/>
        </w:rPr>
        <w:t>de Responsabilidad Medioambiental.</w:t>
      </w:r>
      <w:r>
        <w:rPr>
          <w:rFonts w:ascii="Century Gothic" w:eastAsia="Times New Roman" w:hAnsi="Century Gothic" w:cstheme="minorHAnsi"/>
          <w:bCs/>
          <w:lang w:eastAsia="es-ES"/>
        </w:rPr>
        <w:t xml:space="preserve"> </w:t>
      </w:r>
      <w:r w:rsidRPr="00056B60">
        <w:rPr>
          <w:rFonts w:ascii="Century Gothic" w:eastAsia="Times New Roman" w:hAnsi="Century Gothic" w:cstheme="minorHAnsi"/>
          <w:bCs/>
          <w:lang w:eastAsia="es-ES"/>
        </w:rPr>
        <w:t xml:space="preserve">Estas garantías </w:t>
      </w:r>
      <w:r w:rsidR="00BE4131">
        <w:rPr>
          <w:rFonts w:ascii="Century Gothic" w:eastAsia="Times New Roman" w:hAnsi="Century Gothic" w:cstheme="minorHAnsi"/>
          <w:bCs/>
          <w:lang w:eastAsia="es-ES"/>
        </w:rPr>
        <w:t>podrán</w:t>
      </w:r>
      <w:r w:rsidR="00494F20">
        <w:rPr>
          <w:rFonts w:ascii="Century Gothic" w:eastAsia="Times New Roman" w:hAnsi="Century Gothic" w:cstheme="minorHAnsi"/>
          <w:bCs/>
          <w:lang w:eastAsia="es-ES"/>
        </w:rPr>
        <w:t xml:space="preserve"> </w:t>
      </w:r>
      <w:r w:rsidRPr="00056B60">
        <w:rPr>
          <w:rFonts w:ascii="Century Gothic" w:eastAsia="Times New Roman" w:hAnsi="Century Gothic" w:cstheme="minorHAnsi"/>
          <w:bCs/>
          <w:lang w:eastAsia="es-ES"/>
        </w:rPr>
        <w:t>inclui</w:t>
      </w:r>
      <w:r w:rsidR="00494F20">
        <w:rPr>
          <w:rFonts w:ascii="Century Gothic" w:eastAsia="Times New Roman" w:hAnsi="Century Gothic" w:cstheme="minorHAnsi"/>
          <w:bCs/>
          <w:lang w:eastAsia="es-ES"/>
        </w:rPr>
        <w:t>rse</w:t>
      </w:r>
      <w:r w:rsidRPr="00056B60">
        <w:rPr>
          <w:rFonts w:ascii="Century Gothic" w:eastAsia="Times New Roman" w:hAnsi="Century Gothic" w:cstheme="minorHAnsi"/>
          <w:bCs/>
          <w:lang w:eastAsia="es-ES"/>
        </w:rPr>
        <w:t xml:space="preserve"> en el seguro de responsabilidad civil</w:t>
      </w:r>
      <w:r w:rsidR="00494F20">
        <w:rPr>
          <w:rFonts w:ascii="Century Gothic" w:eastAsia="Times New Roman" w:hAnsi="Century Gothic" w:cstheme="minorHAnsi"/>
          <w:bCs/>
          <w:lang w:eastAsia="es-ES"/>
        </w:rPr>
        <w:t xml:space="preserve"> que se exige de acuerdo con el presente PCP</w:t>
      </w:r>
      <w:r w:rsidRPr="00056B60">
        <w:rPr>
          <w:rFonts w:ascii="Century Gothic" w:eastAsia="Times New Roman" w:hAnsi="Century Gothic" w:cstheme="minorHAnsi"/>
          <w:bCs/>
          <w:lang w:eastAsia="es-ES"/>
        </w:rPr>
        <w:t>.</w:t>
      </w:r>
      <w:r w:rsidR="00714A80" w:rsidRPr="00714A80">
        <w:rPr>
          <w:rFonts w:ascii="Century Gothic" w:eastAsia="Times New Roman" w:hAnsi="Century Gothic" w:cstheme="minorHAnsi"/>
          <w:bCs/>
          <w:lang w:eastAsia="es-ES"/>
        </w:rPr>
        <w:t xml:space="preserve"> </w:t>
      </w:r>
    </w:p>
    <w:p w14:paraId="79126CEA" w14:textId="4DC4C218" w:rsidR="00714A80" w:rsidRPr="00714A80" w:rsidRDefault="00714A80" w:rsidP="006965D8">
      <w:pPr>
        <w:pStyle w:val="Prrafodelista"/>
        <w:numPr>
          <w:ilvl w:val="0"/>
          <w:numId w:val="7"/>
        </w:numPr>
        <w:tabs>
          <w:tab w:val="left" w:pos="0"/>
        </w:tabs>
        <w:spacing w:after="120" w:line="276" w:lineRule="auto"/>
        <w:ind w:left="142" w:firstLine="0"/>
        <w:jc w:val="both"/>
        <w:rPr>
          <w:rFonts w:ascii="Century Gothic" w:eastAsia="Times New Roman" w:hAnsi="Century Gothic" w:cstheme="minorHAnsi"/>
          <w:bCs/>
          <w:lang w:eastAsia="es-ES"/>
        </w:rPr>
      </w:pPr>
      <w:r w:rsidRPr="00714A80">
        <w:rPr>
          <w:rFonts w:ascii="Century Gothic" w:eastAsia="Times New Roman" w:hAnsi="Century Gothic" w:cstheme="minorHAnsi"/>
          <w:bCs/>
          <w:lang w:eastAsia="es-ES"/>
        </w:rPr>
        <w:t xml:space="preserve">El prestador es responsable de recoger, almacenar y entregar a un gestor autorizado los residuos generados en tareas de mantenimiento de la maquinaria o el equipamiento, así como los residuos producidos en el control y limpieza de vertidos accidentales sobre suelo o agua. </w:t>
      </w:r>
    </w:p>
    <w:p w14:paraId="6A9C65F4" w14:textId="388672A7" w:rsidR="008904A1" w:rsidRPr="00714A80" w:rsidRDefault="00714A80" w:rsidP="006965D8">
      <w:pPr>
        <w:pStyle w:val="Prrafodelista"/>
        <w:numPr>
          <w:ilvl w:val="0"/>
          <w:numId w:val="7"/>
        </w:numPr>
        <w:tabs>
          <w:tab w:val="left" w:pos="0"/>
        </w:tabs>
        <w:spacing w:after="120" w:line="276" w:lineRule="auto"/>
        <w:ind w:left="142" w:firstLine="0"/>
        <w:jc w:val="both"/>
        <w:rPr>
          <w:rFonts w:ascii="Century Gothic" w:eastAsia="Times New Roman" w:hAnsi="Century Gothic" w:cstheme="minorHAnsi"/>
          <w:bCs/>
          <w:lang w:eastAsia="es-ES"/>
        </w:rPr>
      </w:pPr>
      <w:r w:rsidRPr="00714A80">
        <w:rPr>
          <w:rFonts w:ascii="Century Gothic" w:eastAsia="Times New Roman" w:hAnsi="Century Gothic" w:cstheme="minorHAnsi"/>
          <w:bCs/>
          <w:lang w:eastAsia="es-ES"/>
        </w:rPr>
        <w:t>Cuando en el transcurso de las operaciones se produzcan derrames o vertidos accidentales que afecten al suelo o al agua del puerto, la empresa prestadora adoptara las medidas necesarias para controlar dicha emergencia, así como las medias correctivas apropiadas para devolver el medio a su estado original. En caso de no hacerlo, la Autoridad Portuaria podrá adoptar dichas medidas siendo los gastos generados a cuenta de la empresa prestadora, todo ello con independencia de las sanciones que puedan proceder.</w:t>
      </w:r>
    </w:p>
    <w:p w14:paraId="0D0043A5" w14:textId="30E0F78A" w:rsidR="008904A1" w:rsidRPr="00F062F1" w:rsidRDefault="008904A1" w:rsidP="006965D8">
      <w:pPr>
        <w:pStyle w:val="Prrafodelista"/>
        <w:numPr>
          <w:ilvl w:val="0"/>
          <w:numId w:val="7"/>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En el plazo de </w:t>
      </w:r>
      <w:r w:rsidR="00010BEB">
        <w:rPr>
          <w:rFonts w:ascii="Century Gothic" w:eastAsia="Times New Roman" w:hAnsi="Century Gothic" w:cstheme="minorHAnsi"/>
          <w:bCs/>
          <w:lang w:eastAsia="es-ES"/>
        </w:rPr>
        <w:t>1 año</w:t>
      </w:r>
      <w:r w:rsidR="00010BEB">
        <w:rPr>
          <w:rFonts w:ascii="Century Gothic" w:eastAsia="Times New Roman" w:hAnsi="Century Gothic" w:cstheme="minorHAnsi"/>
          <w:bCs/>
          <w:color w:val="FF0000"/>
          <w:lang w:eastAsia="es-ES"/>
        </w:rPr>
        <w:t xml:space="preserve"> (ampliar el plazo si se estima necesario) </w:t>
      </w:r>
      <w:r w:rsidRPr="00F062F1">
        <w:rPr>
          <w:rFonts w:ascii="Century Gothic" w:eastAsia="Times New Roman" w:hAnsi="Century Gothic" w:cstheme="minorHAnsi"/>
          <w:bCs/>
          <w:lang w:eastAsia="es-ES"/>
        </w:rPr>
        <w:t xml:space="preserve">a partir de la fecha de otorgamiento de la </w:t>
      </w:r>
      <w:r>
        <w:rPr>
          <w:rFonts w:ascii="Century Gothic" w:eastAsia="Times New Roman" w:hAnsi="Century Gothic" w:cstheme="minorHAnsi"/>
          <w:bCs/>
          <w:lang w:eastAsia="es-ES"/>
        </w:rPr>
        <w:t>autorización</w:t>
      </w:r>
      <w:r w:rsidRPr="00F062F1">
        <w:rPr>
          <w:rFonts w:ascii="Century Gothic" w:eastAsia="Times New Roman" w:hAnsi="Century Gothic" w:cstheme="minorHAnsi"/>
          <w:bCs/>
          <w:lang w:eastAsia="es-ES"/>
        </w:rPr>
        <w:t>, l</w:t>
      </w:r>
      <w:r>
        <w:rPr>
          <w:rFonts w:ascii="Century Gothic" w:eastAsia="Times New Roman" w:hAnsi="Century Gothic" w:cstheme="minorHAnsi"/>
          <w:bCs/>
          <w:lang w:eastAsia="es-ES"/>
        </w:rPr>
        <w:t>as empresas autorizadas</w:t>
      </w:r>
      <w:r w:rsidRPr="00F062F1">
        <w:rPr>
          <w:rFonts w:ascii="Century Gothic" w:eastAsia="Times New Roman" w:hAnsi="Century Gothic" w:cstheme="minorHAnsi"/>
          <w:bCs/>
          <w:lang w:eastAsia="es-ES"/>
        </w:rPr>
        <w:t xml:space="preserve"> deberán tener implantado y certificado un sistema de </w:t>
      </w:r>
      <w:r w:rsidR="005349B6">
        <w:rPr>
          <w:rFonts w:ascii="Century Gothic" w:eastAsia="Times New Roman" w:hAnsi="Century Gothic" w:cstheme="minorHAnsi"/>
          <w:bCs/>
          <w:lang w:eastAsia="es-ES"/>
        </w:rPr>
        <w:t xml:space="preserve">calidad ISO-9000 y un sistema de </w:t>
      </w:r>
      <w:r w:rsidRPr="00F062F1">
        <w:rPr>
          <w:rFonts w:ascii="Century Gothic" w:eastAsia="Times New Roman" w:hAnsi="Century Gothic" w:cstheme="minorHAnsi"/>
          <w:bCs/>
          <w:lang w:eastAsia="es-ES"/>
        </w:rPr>
        <w:t>gestión medioambiental ISO-1400</w:t>
      </w:r>
      <w:r w:rsidR="00AE3F89">
        <w:rPr>
          <w:rFonts w:ascii="Century Gothic" w:eastAsia="Times New Roman" w:hAnsi="Century Gothic" w:cstheme="minorHAnsi"/>
          <w:bCs/>
          <w:lang w:eastAsia="es-ES"/>
        </w:rPr>
        <w:t>1</w:t>
      </w:r>
      <w:r w:rsidRPr="00F062F1">
        <w:rPr>
          <w:rFonts w:ascii="Century Gothic" w:eastAsia="Times New Roman" w:hAnsi="Century Gothic" w:cstheme="minorHAnsi"/>
          <w:bCs/>
          <w:lang w:eastAsia="es-ES"/>
        </w:rPr>
        <w:t xml:space="preserve"> </w:t>
      </w:r>
      <w:r w:rsidR="007A6FE0">
        <w:rPr>
          <w:rFonts w:ascii="Century Gothic" w:eastAsia="Times New Roman" w:hAnsi="Century Gothic" w:cstheme="minorHAnsi"/>
          <w:bCs/>
          <w:lang w:eastAsia="es-ES"/>
        </w:rPr>
        <w:t xml:space="preserve">y/o EMAS </w:t>
      </w:r>
      <w:r w:rsidRPr="00F062F1">
        <w:rPr>
          <w:rFonts w:ascii="Century Gothic" w:eastAsia="Times New Roman" w:hAnsi="Century Gothic" w:cstheme="minorHAnsi"/>
          <w:bCs/>
          <w:lang w:eastAsia="es-ES"/>
        </w:rPr>
        <w:t xml:space="preserve">cuyo alcance comprenda todas las actividades relacionadas con la prestación de servicio reguladas en la </w:t>
      </w:r>
      <w:r>
        <w:rPr>
          <w:rFonts w:ascii="Century Gothic" w:eastAsia="Times New Roman" w:hAnsi="Century Gothic" w:cstheme="minorHAnsi"/>
          <w:bCs/>
          <w:lang w:eastAsia="es-ES"/>
        </w:rPr>
        <w:t>autorización.</w:t>
      </w:r>
    </w:p>
    <w:p w14:paraId="7ECEC9AF" w14:textId="60988318" w:rsidR="008904A1" w:rsidRPr="008C79C9" w:rsidRDefault="008904A1" w:rsidP="006965D8">
      <w:pPr>
        <w:pStyle w:val="Prrafodelista"/>
        <w:numPr>
          <w:ilvl w:val="0"/>
          <w:numId w:val="7"/>
        </w:numPr>
        <w:tabs>
          <w:tab w:val="left" w:pos="0"/>
        </w:tabs>
        <w:spacing w:after="120" w:line="276" w:lineRule="auto"/>
        <w:ind w:left="142" w:firstLine="0"/>
        <w:jc w:val="both"/>
        <w:rPr>
          <w:rFonts w:ascii="Century Gothic" w:eastAsia="Times New Roman" w:hAnsi="Century Gothic" w:cstheme="minorHAnsi"/>
          <w:bCs/>
          <w:lang w:eastAsia="es-ES"/>
        </w:rPr>
      </w:pPr>
      <w:r w:rsidRPr="008C79C9">
        <w:rPr>
          <w:rFonts w:ascii="Century Gothic" w:eastAsia="Times New Roman" w:hAnsi="Century Gothic" w:cstheme="minorHAnsi"/>
          <w:bCs/>
          <w:lang w:eastAsia="es-ES"/>
        </w:rPr>
        <w:t xml:space="preserve">Los medios marítimos adscritos al servicio deberán disponer de un plan de entrega de desechos a las instalaciones portuarias receptoras autorizadas por la </w:t>
      </w:r>
      <w:r w:rsidRPr="008C79C9">
        <w:rPr>
          <w:rFonts w:ascii="Century Gothic" w:eastAsia="Times New Roman" w:hAnsi="Century Gothic" w:cstheme="minorHAnsi"/>
          <w:bCs/>
          <w:lang w:eastAsia="es-ES"/>
        </w:rPr>
        <w:lastRenderedPageBreak/>
        <w:t>Autoridad Portuaria, debiendo estar dicho plan aceptado por las instalaciones afectadas.</w:t>
      </w:r>
    </w:p>
    <w:p w14:paraId="5E1C28E5" w14:textId="68E7401B" w:rsidR="008904A1" w:rsidRPr="00EC5842" w:rsidRDefault="008904A1" w:rsidP="006965D8">
      <w:pPr>
        <w:pStyle w:val="Prrafodelista"/>
        <w:numPr>
          <w:ilvl w:val="0"/>
          <w:numId w:val="7"/>
        </w:numPr>
        <w:tabs>
          <w:tab w:val="left" w:pos="0"/>
        </w:tabs>
        <w:spacing w:after="120" w:line="276" w:lineRule="auto"/>
        <w:ind w:left="142" w:firstLine="0"/>
        <w:jc w:val="both"/>
        <w:rPr>
          <w:rFonts w:ascii="Century Gothic" w:hAnsi="Century Gothic" w:cstheme="minorHAnsi"/>
        </w:rPr>
      </w:pPr>
      <w:r w:rsidRPr="00EC5842">
        <w:rPr>
          <w:rFonts w:ascii="Century Gothic" w:hAnsi="Century Gothic" w:cstheme="minorHAnsi"/>
        </w:rPr>
        <w:t xml:space="preserve">Las empresas autorizadas participarán en los ejercicios de simulacro por contaminación marina </w:t>
      </w:r>
      <w:r w:rsidR="00B30498" w:rsidRPr="00EC5842">
        <w:rPr>
          <w:rFonts w:ascii="Century Gothic" w:hAnsi="Century Gothic" w:cstheme="minorHAnsi"/>
        </w:rPr>
        <w:t xml:space="preserve">y de seguridad </w:t>
      </w:r>
      <w:r w:rsidRPr="00EC5842">
        <w:rPr>
          <w:rFonts w:ascii="Century Gothic" w:hAnsi="Century Gothic" w:cstheme="minorHAnsi"/>
        </w:rPr>
        <w:t>organizados por la Autoridad Portuaria. Los ejercicios se programarán con antelación suficiente.</w:t>
      </w:r>
    </w:p>
    <w:p w14:paraId="7959CFCD" w14:textId="66E3CFF3" w:rsidR="008904A1" w:rsidRPr="00F062F1" w:rsidRDefault="008904A1" w:rsidP="006965D8">
      <w:pPr>
        <w:pStyle w:val="Prrafodelista"/>
        <w:numPr>
          <w:ilvl w:val="0"/>
          <w:numId w:val="7"/>
        </w:numPr>
        <w:tabs>
          <w:tab w:val="left" w:pos="0"/>
        </w:tabs>
        <w:spacing w:after="120" w:line="276" w:lineRule="auto"/>
        <w:ind w:left="142" w:firstLine="0"/>
        <w:jc w:val="both"/>
        <w:rPr>
          <w:rFonts w:ascii="Century Gothic" w:hAnsi="Century Gothic" w:cstheme="minorHAnsi"/>
        </w:rPr>
      </w:pPr>
      <w:r>
        <w:rPr>
          <w:rFonts w:ascii="Century Gothic" w:eastAsia="Times New Roman" w:hAnsi="Century Gothic" w:cstheme="minorHAnsi"/>
          <w:bCs/>
          <w:lang w:eastAsia="es-ES"/>
        </w:rPr>
        <w:t>Los</w:t>
      </w:r>
      <w:r w:rsidRPr="00F062F1">
        <w:rPr>
          <w:rFonts w:ascii="Century Gothic" w:eastAsia="Times New Roman" w:hAnsi="Century Gothic" w:cstheme="minorHAnsi"/>
          <w:bCs/>
          <w:lang w:eastAsia="es-ES"/>
        </w:rPr>
        <w:t xml:space="preserve"> combustibles utilizados por los medios marítimos adscritos al servicio cumplirán lo establecido en </w:t>
      </w:r>
      <w:r>
        <w:rPr>
          <w:rFonts w:ascii="Century Gothic" w:eastAsia="Times New Roman" w:hAnsi="Century Gothic" w:cstheme="minorHAnsi"/>
          <w:bCs/>
          <w:lang w:eastAsia="es-ES"/>
        </w:rPr>
        <w:t xml:space="preserve">el </w:t>
      </w:r>
      <w:r w:rsidRPr="00253FDA">
        <w:rPr>
          <w:rFonts w:ascii="Century Gothic" w:eastAsia="Times New Roman" w:hAnsi="Century Gothic" w:cstheme="minorHAnsi"/>
          <w:bCs/>
          <w:i/>
          <w:iCs/>
          <w:lang w:eastAsia="es-ES"/>
        </w:rPr>
        <w:t xml:space="preserve">Real Decreto 61/2006, de 31 de enero, por el que se </w:t>
      </w:r>
      <w:r w:rsidR="00253FDA">
        <w:rPr>
          <w:rFonts w:ascii="Century Gothic" w:eastAsia="Times New Roman" w:hAnsi="Century Gothic" w:cstheme="minorHAnsi"/>
          <w:bCs/>
          <w:i/>
          <w:iCs/>
          <w:lang w:eastAsia="es-ES"/>
        </w:rPr>
        <w:t>determinan</w:t>
      </w:r>
      <w:r w:rsidRPr="00253FDA">
        <w:rPr>
          <w:rFonts w:ascii="Century Gothic" w:eastAsia="Times New Roman" w:hAnsi="Century Gothic" w:cstheme="minorHAnsi"/>
          <w:bCs/>
          <w:i/>
          <w:iCs/>
          <w:lang w:eastAsia="es-ES"/>
        </w:rPr>
        <w:t xml:space="preserve"> las especificaciones de gasolinas, gasóleos, fuelóleos y gases licuados del petróleo</w:t>
      </w:r>
      <w:r w:rsidR="00253FDA">
        <w:rPr>
          <w:rFonts w:ascii="Century Gothic" w:eastAsia="Times New Roman" w:hAnsi="Century Gothic" w:cstheme="minorHAnsi"/>
          <w:bCs/>
          <w:i/>
          <w:iCs/>
          <w:lang w:eastAsia="es-ES"/>
        </w:rPr>
        <w:t xml:space="preserve"> y</w:t>
      </w:r>
      <w:r w:rsidRPr="00253FDA">
        <w:rPr>
          <w:rFonts w:ascii="Century Gothic" w:eastAsia="Times New Roman" w:hAnsi="Century Gothic" w:cstheme="minorHAnsi"/>
          <w:bCs/>
          <w:i/>
          <w:iCs/>
          <w:lang w:eastAsia="es-ES"/>
        </w:rPr>
        <w:t xml:space="preserve"> se regula el uso de determinados biocarburantes</w:t>
      </w:r>
      <w:r w:rsidRPr="00F062F1">
        <w:rPr>
          <w:rFonts w:ascii="Century Gothic" w:eastAsia="Times New Roman" w:hAnsi="Century Gothic" w:cstheme="minorHAnsi"/>
          <w:bCs/>
          <w:lang w:eastAsia="es-ES"/>
        </w:rPr>
        <w:t xml:space="preserve">, y se adaptarán a las limitaciones sobre el contenido de azufre de los combustibles para uso marítimo. </w:t>
      </w:r>
    </w:p>
    <w:p w14:paraId="1C8C1BBC" w14:textId="1B460EB6" w:rsidR="00A973F8" w:rsidRPr="0039073D" w:rsidRDefault="008904A1" w:rsidP="006965D8">
      <w:pPr>
        <w:pStyle w:val="Prrafodelista"/>
        <w:numPr>
          <w:ilvl w:val="0"/>
          <w:numId w:val="7"/>
        </w:numPr>
        <w:tabs>
          <w:tab w:val="left" w:pos="0"/>
        </w:tabs>
        <w:spacing w:after="120" w:line="276" w:lineRule="auto"/>
        <w:ind w:left="142" w:firstLine="0"/>
        <w:jc w:val="both"/>
        <w:rPr>
          <w:rFonts w:ascii="Century Gothic" w:hAnsi="Century Gothic" w:cstheme="minorHAnsi"/>
        </w:rPr>
      </w:pPr>
      <w:r w:rsidRPr="0039073D">
        <w:rPr>
          <w:rFonts w:ascii="Century Gothic" w:hAnsi="Century Gothic" w:cstheme="minorHAnsi"/>
        </w:rPr>
        <w:t>La</w:t>
      </w:r>
      <w:r w:rsidR="00D44C2A" w:rsidRPr="0039073D">
        <w:rPr>
          <w:rFonts w:ascii="Century Gothic" w:hAnsi="Century Gothic" w:cstheme="minorHAnsi"/>
        </w:rPr>
        <w:t>s</w:t>
      </w:r>
      <w:r w:rsidRPr="0039073D">
        <w:rPr>
          <w:rFonts w:ascii="Century Gothic" w:hAnsi="Century Gothic" w:cstheme="minorHAnsi"/>
        </w:rPr>
        <w:t xml:space="preserve"> empresa</w:t>
      </w:r>
      <w:r w:rsidR="00D44C2A" w:rsidRPr="0039073D">
        <w:rPr>
          <w:rFonts w:ascii="Century Gothic" w:hAnsi="Century Gothic" w:cstheme="minorHAnsi"/>
        </w:rPr>
        <w:t>s</w:t>
      </w:r>
      <w:r w:rsidRPr="0039073D">
        <w:rPr>
          <w:rFonts w:ascii="Century Gothic" w:hAnsi="Century Gothic" w:cstheme="minorHAnsi"/>
        </w:rPr>
        <w:t xml:space="preserve"> autorizada</w:t>
      </w:r>
      <w:r w:rsidR="00D44C2A" w:rsidRPr="0039073D">
        <w:rPr>
          <w:rFonts w:ascii="Century Gothic" w:hAnsi="Century Gothic" w:cstheme="minorHAnsi"/>
        </w:rPr>
        <w:t>s</w:t>
      </w:r>
      <w:r w:rsidRPr="0039073D">
        <w:rPr>
          <w:rFonts w:ascii="Century Gothic" w:hAnsi="Century Gothic" w:cstheme="minorHAnsi"/>
        </w:rPr>
        <w:t xml:space="preserve"> desarrollará</w:t>
      </w:r>
      <w:r w:rsidR="00D44C2A" w:rsidRPr="0039073D">
        <w:rPr>
          <w:rFonts w:ascii="Century Gothic" w:hAnsi="Century Gothic" w:cstheme="minorHAnsi"/>
        </w:rPr>
        <w:t>n</w:t>
      </w:r>
      <w:r w:rsidRPr="0039073D">
        <w:rPr>
          <w:rFonts w:ascii="Century Gothic" w:hAnsi="Century Gothic" w:cstheme="minorHAnsi"/>
        </w:rPr>
        <w:t xml:space="preserve"> su actividad bajo criterios de eficiencia energética y sostenibilidad ambiental, haciendo uso de energías renovables en la medida de lo posible y empleando la maquinaria y las técnicas más eficientes energéticamente, que permitan contribuir al ahorro y la eficiencia energética en la demanda conjunta del Puerto, en línea con lo establecido por el paquete de medidas de la UE “</w:t>
      </w:r>
      <w:r w:rsidRPr="0039073D">
        <w:rPr>
          <w:rFonts w:ascii="Century Gothic" w:hAnsi="Century Gothic" w:cstheme="minorHAnsi"/>
          <w:i/>
          <w:iCs/>
        </w:rPr>
        <w:t>FIT for 55</w:t>
      </w:r>
      <w:r w:rsidRPr="0039073D">
        <w:rPr>
          <w:rFonts w:ascii="Century Gothic" w:hAnsi="Century Gothic" w:cstheme="minorHAnsi"/>
        </w:rPr>
        <w:t xml:space="preserve">” y el Marco Estratégico del sistema portuario en vigor. </w:t>
      </w:r>
      <w:r w:rsidRPr="0039073D">
        <w:rPr>
          <w:rFonts w:ascii="Century Gothic" w:eastAsia="Times New Roman" w:hAnsi="Century Gothic" w:cstheme="minorHAnsi"/>
          <w:szCs w:val="24"/>
          <w:lang w:eastAsia="es-ES"/>
        </w:rPr>
        <w:t xml:space="preserve"> </w:t>
      </w:r>
    </w:p>
    <w:p w14:paraId="0E7F501A" w14:textId="77777777" w:rsidR="00923EDC" w:rsidRPr="003847F5" w:rsidRDefault="00923EDC" w:rsidP="006965D8">
      <w:pPr>
        <w:pStyle w:val="Ttulo2"/>
        <w:numPr>
          <w:ilvl w:val="0"/>
          <w:numId w:val="11"/>
        </w:numPr>
        <w:spacing w:line="276" w:lineRule="auto"/>
        <w:jc w:val="both"/>
        <w:rPr>
          <w:rFonts w:ascii="Century Gothic" w:hAnsi="Century Gothic" w:cstheme="minorHAnsi"/>
        </w:rPr>
      </w:pPr>
      <w:bookmarkStart w:id="23" w:name="_Toc230677707"/>
      <w:r w:rsidRPr="00F062F1">
        <w:rPr>
          <w:rFonts w:ascii="Century Gothic" w:hAnsi="Century Gothic" w:cstheme="minorHAnsi"/>
        </w:rPr>
        <w:t>Condiciones de protección y seguridad portuaria</w:t>
      </w:r>
      <w:bookmarkEnd w:id="23"/>
    </w:p>
    <w:p w14:paraId="6E6BFEBF" w14:textId="3864E969" w:rsidR="006B3D96" w:rsidRPr="00F42AB3" w:rsidRDefault="00923EDC" w:rsidP="006965D8">
      <w:pPr>
        <w:pStyle w:val="Prrafodelista"/>
        <w:numPr>
          <w:ilvl w:val="0"/>
          <w:numId w:val="9"/>
        </w:numPr>
        <w:spacing w:line="276" w:lineRule="auto"/>
        <w:ind w:left="142" w:firstLine="0"/>
        <w:jc w:val="both"/>
        <w:rPr>
          <w:rFonts w:ascii="Century Gothic" w:hAnsi="Century Gothic" w:cstheme="minorHAnsi"/>
        </w:rPr>
      </w:pPr>
      <w:r w:rsidRPr="003F5234">
        <w:rPr>
          <w:rFonts w:ascii="Century Gothic" w:hAnsi="Century Gothic" w:cstheme="minorHAnsi"/>
        </w:rPr>
        <w:t>La empresa prestadora deberá presentar un Plan de medidas de emergencia con el fin de que la Autoridad Portuaria lo integre en su correspondiente Plan de Autoprotección.</w:t>
      </w:r>
    </w:p>
    <w:p w14:paraId="102F1D56" w14:textId="4E6344B4" w:rsidR="00923EDC" w:rsidRPr="00F42AB3" w:rsidRDefault="00923EDC" w:rsidP="006965D8">
      <w:pPr>
        <w:pStyle w:val="Prrafodelista"/>
        <w:numPr>
          <w:ilvl w:val="0"/>
          <w:numId w:val="9"/>
        </w:numPr>
        <w:spacing w:line="276" w:lineRule="auto"/>
        <w:ind w:left="142" w:firstLine="0"/>
        <w:jc w:val="both"/>
        <w:rPr>
          <w:rFonts w:ascii="Century Gothic" w:hAnsi="Century Gothic" w:cstheme="minorHAnsi"/>
        </w:rPr>
      </w:pPr>
      <w:r w:rsidRPr="00F42AB3">
        <w:rPr>
          <w:rFonts w:ascii="Century Gothic" w:hAnsi="Century Gothic" w:cstheme="minorHAnsi"/>
        </w:rPr>
        <w:t xml:space="preserve">Los titulares de </w:t>
      </w:r>
      <w:r w:rsidR="003F5234">
        <w:rPr>
          <w:rFonts w:ascii="Century Gothic" w:hAnsi="Century Gothic" w:cstheme="minorHAnsi"/>
        </w:rPr>
        <w:t>autorizaciones</w:t>
      </w:r>
      <w:r w:rsidRPr="00F42AB3">
        <w:rPr>
          <w:rFonts w:ascii="Century Gothic" w:hAnsi="Century Gothic" w:cstheme="minorHAnsi"/>
        </w:rPr>
        <w:t xml:space="preserve"> se comprometerán a cumplir las obligaciones o atender las indicaciones relativas a la coordinación de las actividades empresariales</w:t>
      </w:r>
      <w:r w:rsidR="00E90F32">
        <w:rPr>
          <w:rFonts w:ascii="Century Gothic" w:hAnsi="Century Gothic" w:cstheme="minorHAnsi"/>
        </w:rPr>
        <w:t>.</w:t>
      </w:r>
    </w:p>
    <w:p w14:paraId="61499A10" w14:textId="66BC18C5" w:rsidR="00923EDC" w:rsidRPr="003F5234" w:rsidRDefault="00923EDC" w:rsidP="006965D8">
      <w:pPr>
        <w:pStyle w:val="Ttulo2"/>
        <w:numPr>
          <w:ilvl w:val="0"/>
          <w:numId w:val="11"/>
        </w:numPr>
        <w:spacing w:line="276" w:lineRule="auto"/>
        <w:jc w:val="both"/>
        <w:rPr>
          <w:rFonts w:ascii="Century Gothic" w:hAnsi="Century Gothic" w:cstheme="minorHAnsi"/>
        </w:rPr>
      </w:pPr>
      <w:bookmarkStart w:id="24" w:name="_Toc230677708"/>
      <w:r w:rsidRPr="003F5234">
        <w:rPr>
          <w:rFonts w:ascii="Century Gothic" w:hAnsi="Century Gothic" w:cstheme="minorHAnsi"/>
        </w:rPr>
        <w:t>Riesgo y ventura. Impuestos y gastos derivados de la prestación del servicio. Responsabilidad. Seguro de responsabilidad civil</w:t>
      </w:r>
      <w:bookmarkEnd w:id="24"/>
    </w:p>
    <w:p w14:paraId="5FA8511F" w14:textId="5F432398" w:rsidR="00923EDC" w:rsidRDefault="00923EDC" w:rsidP="006965D8">
      <w:pPr>
        <w:pStyle w:val="Prrafodelista"/>
        <w:numPr>
          <w:ilvl w:val="0"/>
          <w:numId w:val="6"/>
        </w:numPr>
        <w:spacing w:line="276" w:lineRule="auto"/>
        <w:ind w:left="142" w:firstLine="0"/>
        <w:jc w:val="both"/>
        <w:rPr>
          <w:rFonts w:ascii="Century Gothic" w:hAnsi="Century Gothic" w:cstheme="minorHAnsi"/>
        </w:rPr>
      </w:pPr>
      <w:r w:rsidRPr="00F062F1">
        <w:rPr>
          <w:rFonts w:ascii="Century Gothic" w:hAnsi="Century Gothic" w:cstheme="minorHAnsi"/>
        </w:rPr>
        <w:t xml:space="preserve">El servicio se realizará por el titular de la </w:t>
      </w:r>
      <w:r w:rsidR="003F5234">
        <w:rPr>
          <w:rFonts w:ascii="Century Gothic" w:hAnsi="Century Gothic" w:cstheme="minorHAnsi"/>
        </w:rPr>
        <w:t>autorización</w:t>
      </w:r>
      <w:r w:rsidRPr="00F062F1">
        <w:rPr>
          <w:rFonts w:ascii="Century Gothic" w:hAnsi="Century Gothic" w:cstheme="minorHAnsi"/>
        </w:rPr>
        <w:t xml:space="preserve"> bajo su exclusivo riesgo y ventura.</w:t>
      </w:r>
      <w:r w:rsidRPr="00523CCF">
        <w:rPr>
          <w:rFonts w:ascii="Century Gothic" w:hAnsi="Century Gothic" w:cstheme="minorHAnsi"/>
        </w:rPr>
        <w:t xml:space="preserve"> </w:t>
      </w:r>
    </w:p>
    <w:p w14:paraId="573CEF06" w14:textId="0E526BE5" w:rsidR="00923EDC" w:rsidRPr="00F062F1" w:rsidRDefault="00923EDC" w:rsidP="006965D8">
      <w:pPr>
        <w:pStyle w:val="Prrafodelista"/>
        <w:numPr>
          <w:ilvl w:val="0"/>
          <w:numId w:val="6"/>
        </w:numPr>
        <w:spacing w:line="276" w:lineRule="auto"/>
        <w:ind w:left="142" w:firstLine="0"/>
        <w:jc w:val="both"/>
        <w:rPr>
          <w:rFonts w:ascii="Century Gothic" w:hAnsi="Century Gothic" w:cstheme="minorHAnsi"/>
        </w:rPr>
      </w:pPr>
      <w:r w:rsidRPr="00F062F1">
        <w:rPr>
          <w:rFonts w:ascii="Century Gothic" w:hAnsi="Century Gothic" w:cstheme="minorHAnsi"/>
        </w:rPr>
        <w:t xml:space="preserve">Serán por cuenta del titular de la </w:t>
      </w:r>
      <w:r w:rsidR="003F5234">
        <w:rPr>
          <w:rFonts w:ascii="Century Gothic" w:hAnsi="Century Gothic" w:cstheme="minorHAnsi"/>
        </w:rPr>
        <w:t xml:space="preserve">autorización </w:t>
      </w:r>
      <w:r w:rsidRPr="00F062F1">
        <w:rPr>
          <w:rFonts w:ascii="Century Gothic" w:hAnsi="Century Gothic" w:cstheme="minorHAnsi"/>
        </w:rPr>
        <w:t>todos los impuestos, arbitrios o tasas derivadas de la prestación del servicio, con arreglo a la legislación vigente en cada momento; los consumos de combustible, agua y electricidad; así como cualquier otro servicio que pueda utilizar en el puerto y todos los demás gastos que ocasione la prestación y que sean necesarios para el funcionamie</w:t>
      </w:r>
      <w:r w:rsidR="00A36BAB">
        <w:rPr>
          <w:rFonts w:ascii="Century Gothic" w:hAnsi="Century Gothic" w:cstheme="minorHAnsi"/>
        </w:rPr>
        <w:t>n</w:t>
      </w:r>
      <w:r w:rsidRPr="00F062F1">
        <w:rPr>
          <w:rFonts w:ascii="Century Gothic" w:hAnsi="Century Gothic" w:cstheme="minorHAnsi"/>
        </w:rPr>
        <w:t>to del servicio,</w:t>
      </w:r>
      <w:r w:rsidRPr="00F062F1">
        <w:rPr>
          <w:rFonts w:ascii="Century Gothic" w:hAnsi="Century Gothic"/>
        </w:rPr>
        <w:t xml:space="preserve"> </w:t>
      </w:r>
      <w:r w:rsidRPr="00F062F1">
        <w:rPr>
          <w:rFonts w:ascii="Century Gothic" w:hAnsi="Century Gothic" w:cstheme="minorHAnsi"/>
        </w:rPr>
        <w:t>incluyendo el coste de la entrega</w:t>
      </w:r>
      <w:r w:rsidR="002C7415">
        <w:rPr>
          <w:rFonts w:ascii="Century Gothic" w:hAnsi="Century Gothic" w:cstheme="minorHAnsi"/>
        </w:rPr>
        <w:t xml:space="preserve"> de desechos</w:t>
      </w:r>
      <w:r w:rsidRPr="00F062F1">
        <w:rPr>
          <w:rFonts w:ascii="Century Gothic" w:hAnsi="Century Gothic" w:cstheme="minorHAnsi"/>
        </w:rPr>
        <w:t xml:space="preserve"> a la planta de tratamiento integral.</w:t>
      </w:r>
    </w:p>
    <w:p w14:paraId="5ED05550" w14:textId="475E22E9" w:rsidR="00923EDC" w:rsidRPr="003F5234" w:rsidRDefault="00923EDC" w:rsidP="006965D8">
      <w:pPr>
        <w:pStyle w:val="Prrafodelista"/>
        <w:numPr>
          <w:ilvl w:val="0"/>
          <w:numId w:val="6"/>
        </w:numPr>
        <w:spacing w:line="276" w:lineRule="auto"/>
        <w:ind w:left="142" w:firstLine="0"/>
        <w:jc w:val="both"/>
        <w:rPr>
          <w:rFonts w:ascii="Century Gothic" w:hAnsi="Century Gothic" w:cstheme="minorHAnsi"/>
        </w:rPr>
      </w:pPr>
      <w:r w:rsidRPr="003F5234">
        <w:rPr>
          <w:rFonts w:ascii="Century Gothic" w:hAnsi="Century Gothic" w:cstheme="minorHAnsi"/>
        </w:rPr>
        <w:t xml:space="preserve">La Autoridad Portuaria no será responsable, en ningún caso, de los daños producidos a terceros como consecuencia de la prestación del servicio, siendo, en su caso, responsabilidad del titular de la </w:t>
      </w:r>
      <w:r w:rsidR="003F5234" w:rsidRPr="003F5234">
        <w:rPr>
          <w:rFonts w:ascii="Century Gothic" w:hAnsi="Century Gothic" w:cstheme="minorHAnsi"/>
        </w:rPr>
        <w:t xml:space="preserve">autorización </w:t>
      </w:r>
      <w:r w:rsidRPr="003F5234">
        <w:rPr>
          <w:rFonts w:ascii="Century Gothic" w:hAnsi="Century Gothic" w:cstheme="minorHAnsi"/>
        </w:rPr>
        <w:t xml:space="preserve">los daños y perjuicios que éste pueda producir durante el desarrollo de la actividad. Cuando tales daños y perjuicios hayan sido ocasionados como consecuencia inmediata y directa de una orden de la Administración, </w:t>
      </w:r>
      <w:r w:rsidR="002605EA">
        <w:rPr>
          <w:rFonts w:ascii="Century Gothic" w:hAnsi="Century Gothic" w:cstheme="minorHAnsi"/>
        </w:rPr>
        <w:t xml:space="preserve">esta </w:t>
      </w:r>
      <w:r w:rsidRPr="003F5234">
        <w:rPr>
          <w:rFonts w:ascii="Century Gothic" w:hAnsi="Century Gothic" w:cstheme="minorHAnsi"/>
        </w:rPr>
        <w:t>será responsable dentro de los límites señalados en las leyes. En el caso de que las embarcaciones</w:t>
      </w:r>
      <w:r w:rsidR="00D36588">
        <w:rPr>
          <w:rFonts w:ascii="Century Gothic" w:hAnsi="Century Gothic" w:cstheme="minorHAnsi"/>
        </w:rPr>
        <w:t xml:space="preserve"> u otros medios dedicados al servicio </w:t>
      </w:r>
      <w:r w:rsidRPr="003F5234">
        <w:rPr>
          <w:rFonts w:ascii="Century Gothic" w:hAnsi="Century Gothic" w:cstheme="minorHAnsi"/>
        </w:rPr>
        <w:t xml:space="preserve">sean </w:t>
      </w:r>
      <w:r w:rsidR="00B819D7" w:rsidRPr="003F5234">
        <w:rPr>
          <w:rFonts w:ascii="Century Gothic" w:hAnsi="Century Gothic" w:cstheme="minorHAnsi"/>
        </w:rPr>
        <w:t>arrendad</w:t>
      </w:r>
      <w:r w:rsidR="00D36588">
        <w:rPr>
          <w:rFonts w:ascii="Century Gothic" w:hAnsi="Century Gothic" w:cstheme="minorHAnsi"/>
        </w:rPr>
        <w:t>os</w:t>
      </w:r>
      <w:r w:rsidR="00B819D7" w:rsidRPr="003F5234">
        <w:rPr>
          <w:rFonts w:ascii="Century Gothic" w:hAnsi="Century Gothic" w:cstheme="minorHAnsi"/>
        </w:rPr>
        <w:t xml:space="preserve"> o </w:t>
      </w:r>
      <w:r w:rsidRPr="003F5234">
        <w:rPr>
          <w:rFonts w:ascii="Century Gothic" w:hAnsi="Century Gothic" w:cstheme="minorHAnsi"/>
        </w:rPr>
        <w:t>fletad</w:t>
      </w:r>
      <w:r w:rsidR="00D36588">
        <w:rPr>
          <w:rFonts w:ascii="Century Gothic" w:hAnsi="Century Gothic" w:cstheme="minorHAnsi"/>
        </w:rPr>
        <w:t>os</w:t>
      </w:r>
      <w:r w:rsidR="00B819D7" w:rsidRPr="003F5234">
        <w:rPr>
          <w:rFonts w:ascii="Century Gothic" w:hAnsi="Century Gothic" w:cstheme="minorHAnsi"/>
        </w:rPr>
        <w:t>,</w:t>
      </w:r>
      <w:r w:rsidRPr="003F5234">
        <w:rPr>
          <w:rFonts w:ascii="Century Gothic" w:hAnsi="Century Gothic" w:cstheme="minorHAnsi"/>
        </w:rPr>
        <w:t xml:space="preserve"> </w:t>
      </w:r>
      <w:r w:rsidR="003F5234" w:rsidRPr="003F5234">
        <w:rPr>
          <w:rFonts w:ascii="Century Gothic" w:hAnsi="Century Gothic" w:cstheme="minorHAnsi"/>
        </w:rPr>
        <w:t xml:space="preserve">la empresa autorizada </w:t>
      </w:r>
      <w:r w:rsidRPr="003F5234">
        <w:rPr>
          <w:rFonts w:ascii="Century Gothic" w:hAnsi="Century Gothic" w:cstheme="minorHAnsi"/>
        </w:rPr>
        <w:t xml:space="preserve">será </w:t>
      </w:r>
      <w:r w:rsidRPr="003F5234">
        <w:rPr>
          <w:rFonts w:ascii="Century Gothic" w:hAnsi="Century Gothic" w:cstheme="minorHAnsi"/>
        </w:rPr>
        <w:lastRenderedPageBreak/>
        <w:t>igualmente responsable frente a terceros de los daños ocasionados por dichos medios.</w:t>
      </w:r>
      <w:r w:rsidRPr="00523CCF">
        <w:t xml:space="preserve"> </w:t>
      </w:r>
    </w:p>
    <w:p w14:paraId="1E9D9C78" w14:textId="77777777" w:rsidR="0059430E" w:rsidRDefault="00923EDC" w:rsidP="006965D8">
      <w:pPr>
        <w:pStyle w:val="Prrafodelista"/>
        <w:numPr>
          <w:ilvl w:val="0"/>
          <w:numId w:val="6"/>
        </w:numPr>
        <w:spacing w:line="276" w:lineRule="auto"/>
        <w:ind w:left="142" w:firstLine="0"/>
        <w:jc w:val="both"/>
        <w:rPr>
          <w:rFonts w:ascii="Century Gothic" w:hAnsi="Century Gothic" w:cstheme="minorHAnsi"/>
        </w:rPr>
      </w:pPr>
      <w:r w:rsidRPr="00521EB8">
        <w:rPr>
          <w:rFonts w:ascii="Century Gothic" w:hAnsi="Century Gothic" w:cstheme="minorHAnsi"/>
        </w:rPr>
        <w:t xml:space="preserve">Antes de comenzar la actividad, la empresa prestadora deberá suscribir un seguro de responsabilidad civil que cubra los posibles daños causados durante la prestación del servicio cuya responsabilidad recaiga sobre el prestador, así como las indemnizaciones por riesgos profesionales. La cuantía de dicho seguro debe ser, en todo caso, igual o superior al/a los siguiente/s valor/es: </w:t>
      </w:r>
    </w:p>
    <w:p w14:paraId="149DBF1B" w14:textId="77777777" w:rsidR="0059430E" w:rsidRDefault="00923EDC" w:rsidP="006965D8">
      <w:pPr>
        <w:pStyle w:val="Prrafodelista"/>
        <w:numPr>
          <w:ilvl w:val="1"/>
          <w:numId w:val="6"/>
        </w:numPr>
        <w:spacing w:line="276" w:lineRule="auto"/>
        <w:jc w:val="both"/>
        <w:rPr>
          <w:rFonts w:ascii="Century Gothic" w:hAnsi="Century Gothic" w:cstheme="minorHAnsi"/>
        </w:rPr>
      </w:pPr>
      <w:r w:rsidRPr="00521EB8">
        <w:rPr>
          <w:rFonts w:ascii="Century Gothic" w:hAnsi="Century Gothic" w:cstheme="minorHAnsi"/>
          <w:color w:val="FF0000"/>
        </w:rPr>
        <w:t>XXXX</w:t>
      </w:r>
      <w:r w:rsidRPr="00521EB8">
        <w:rPr>
          <w:rFonts w:ascii="Century Gothic" w:hAnsi="Century Gothic" w:cstheme="minorHAnsi"/>
        </w:rPr>
        <w:t xml:space="preserve"> euros por cada siniestro</w:t>
      </w:r>
      <w:r w:rsidR="0059430E">
        <w:rPr>
          <w:rFonts w:ascii="Century Gothic" w:hAnsi="Century Gothic" w:cstheme="minorHAnsi"/>
        </w:rPr>
        <w:t xml:space="preserve"> (modalidad STS)</w:t>
      </w:r>
    </w:p>
    <w:p w14:paraId="601417E8" w14:textId="7986B440" w:rsidR="0059430E" w:rsidRDefault="0059430E" w:rsidP="006965D8">
      <w:pPr>
        <w:pStyle w:val="Prrafodelista"/>
        <w:numPr>
          <w:ilvl w:val="1"/>
          <w:numId w:val="6"/>
        </w:numPr>
        <w:spacing w:line="276" w:lineRule="auto"/>
        <w:jc w:val="both"/>
        <w:rPr>
          <w:rFonts w:ascii="Century Gothic" w:hAnsi="Century Gothic" w:cstheme="minorHAnsi"/>
        </w:rPr>
      </w:pPr>
      <w:r w:rsidRPr="00521EB8">
        <w:rPr>
          <w:rFonts w:ascii="Century Gothic" w:hAnsi="Century Gothic" w:cstheme="minorHAnsi"/>
          <w:color w:val="FF0000"/>
        </w:rPr>
        <w:t>XXXX</w:t>
      </w:r>
      <w:r w:rsidRPr="00521EB8">
        <w:rPr>
          <w:rFonts w:ascii="Century Gothic" w:hAnsi="Century Gothic" w:cstheme="minorHAnsi"/>
        </w:rPr>
        <w:t xml:space="preserve"> euros por cada siniestro</w:t>
      </w:r>
      <w:r>
        <w:rPr>
          <w:rFonts w:ascii="Century Gothic" w:hAnsi="Century Gothic" w:cstheme="minorHAnsi"/>
        </w:rPr>
        <w:t xml:space="preserve"> (modalidad TTS)</w:t>
      </w:r>
    </w:p>
    <w:p w14:paraId="71B17BBC" w14:textId="3DE51A7C" w:rsidR="004B2292" w:rsidRPr="0059430E" w:rsidRDefault="0059430E" w:rsidP="006965D8">
      <w:pPr>
        <w:pStyle w:val="Prrafodelista"/>
        <w:numPr>
          <w:ilvl w:val="1"/>
          <w:numId w:val="6"/>
        </w:numPr>
        <w:spacing w:line="276" w:lineRule="auto"/>
        <w:jc w:val="both"/>
        <w:rPr>
          <w:rFonts w:ascii="Century Gothic" w:hAnsi="Century Gothic" w:cstheme="minorHAnsi"/>
        </w:rPr>
      </w:pPr>
      <w:r w:rsidRPr="0059430E">
        <w:rPr>
          <w:rFonts w:ascii="Century Gothic" w:hAnsi="Century Gothic" w:cstheme="minorHAnsi"/>
          <w:color w:val="FF0000"/>
        </w:rPr>
        <w:t>XXXX</w:t>
      </w:r>
      <w:r w:rsidRPr="0059430E">
        <w:rPr>
          <w:rFonts w:ascii="Century Gothic" w:hAnsi="Century Gothic" w:cstheme="minorHAnsi"/>
        </w:rPr>
        <w:t xml:space="preserve"> euros por cada siniestro (modalidad PTS)</w:t>
      </w:r>
      <w:r w:rsidR="00923EDC" w:rsidRPr="0059430E">
        <w:rPr>
          <w:rFonts w:ascii="Century Gothic" w:hAnsi="Century Gothic" w:cstheme="minorHAnsi"/>
        </w:rPr>
        <w:t xml:space="preserve"> </w:t>
      </w:r>
    </w:p>
    <w:p w14:paraId="3CEECB7A" w14:textId="740D7C95" w:rsidR="00923EDC" w:rsidRPr="00D36588" w:rsidRDefault="00923EDC" w:rsidP="006965D8">
      <w:pPr>
        <w:pStyle w:val="Ttulo2"/>
        <w:numPr>
          <w:ilvl w:val="0"/>
          <w:numId w:val="11"/>
        </w:numPr>
        <w:spacing w:line="276" w:lineRule="auto"/>
        <w:jc w:val="both"/>
        <w:rPr>
          <w:rFonts w:ascii="Century Gothic" w:hAnsi="Century Gothic" w:cstheme="minorHAnsi"/>
        </w:rPr>
      </w:pPr>
      <w:bookmarkStart w:id="25" w:name="_Toc230677709"/>
      <w:r w:rsidRPr="00D36588">
        <w:rPr>
          <w:rFonts w:ascii="Century Gothic" w:hAnsi="Century Gothic" w:cstheme="minorHAnsi"/>
        </w:rPr>
        <w:t xml:space="preserve">Inicio de la prestación del servicio tras el otorgamiento de </w:t>
      </w:r>
      <w:r w:rsidR="00265364" w:rsidRPr="00D36588">
        <w:rPr>
          <w:rFonts w:ascii="Century Gothic" w:hAnsi="Century Gothic" w:cstheme="minorHAnsi"/>
        </w:rPr>
        <w:t>autorización</w:t>
      </w:r>
      <w:bookmarkEnd w:id="25"/>
    </w:p>
    <w:p w14:paraId="33ABB523" w14:textId="00A42E57" w:rsidR="00923EDC" w:rsidRPr="00265364" w:rsidRDefault="00923EDC" w:rsidP="00494F20">
      <w:pPr>
        <w:spacing w:line="276" w:lineRule="auto"/>
        <w:ind w:left="142"/>
        <w:jc w:val="both"/>
      </w:pPr>
      <w:r w:rsidRPr="00494F20">
        <w:rPr>
          <w:rFonts w:ascii="Century Gothic" w:hAnsi="Century Gothic" w:cstheme="minorHAnsi"/>
        </w:rPr>
        <w:t xml:space="preserve">El </w:t>
      </w:r>
      <w:r w:rsidR="00234197">
        <w:rPr>
          <w:rFonts w:ascii="Century Gothic" w:hAnsi="Century Gothic" w:cstheme="minorHAnsi"/>
        </w:rPr>
        <w:t>autorizado debe estar en disposición de p</w:t>
      </w:r>
      <w:r w:rsidRPr="00494F20">
        <w:rPr>
          <w:rFonts w:ascii="Century Gothic" w:hAnsi="Century Gothic" w:cstheme="minorHAnsi"/>
        </w:rPr>
        <w:t>restar</w:t>
      </w:r>
      <w:r w:rsidR="00234197">
        <w:rPr>
          <w:rFonts w:ascii="Century Gothic" w:hAnsi="Century Gothic" w:cstheme="minorHAnsi"/>
        </w:rPr>
        <w:t xml:space="preserve"> el servicio</w:t>
      </w:r>
      <w:r w:rsidRPr="00494F20">
        <w:rPr>
          <w:rFonts w:ascii="Century Gothic" w:hAnsi="Century Gothic" w:cstheme="minorHAnsi"/>
        </w:rPr>
        <w:t xml:space="preserve"> en el plazo máximo de </w:t>
      </w:r>
      <w:r w:rsidRPr="00494F20">
        <w:rPr>
          <w:rFonts w:ascii="Century Gothic" w:hAnsi="Century Gothic" w:cstheme="minorHAnsi"/>
          <w:color w:val="FF0000"/>
        </w:rPr>
        <w:t>un mes</w:t>
      </w:r>
      <w:r w:rsidR="003F614E" w:rsidRPr="00494F20">
        <w:rPr>
          <w:rFonts w:ascii="Century Gothic" w:hAnsi="Century Gothic" w:cstheme="minorHAnsi"/>
          <w:color w:val="FF0000"/>
        </w:rPr>
        <w:t xml:space="preserve"> (</w:t>
      </w:r>
      <w:r w:rsidR="004B7007" w:rsidRPr="00494F20">
        <w:rPr>
          <w:rFonts w:ascii="Century Gothic" w:hAnsi="Century Gothic" w:cstheme="minorHAnsi"/>
          <w:color w:val="FF0000"/>
        </w:rPr>
        <w:t>ampliar este plazo por la Autoridad Portuaria si resulta necesario</w:t>
      </w:r>
      <w:r w:rsidR="003F614E" w:rsidRPr="00494F20">
        <w:rPr>
          <w:rFonts w:ascii="Century Gothic" w:hAnsi="Century Gothic" w:cstheme="minorHAnsi"/>
          <w:color w:val="FF0000"/>
        </w:rPr>
        <w:t>)</w:t>
      </w:r>
      <w:r w:rsidRPr="00494F20">
        <w:rPr>
          <w:rFonts w:ascii="Century Gothic" w:hAnsi="Century Gothic" w:cstheme="minorHAnsi"/>
          <w:color w:val="FF0000"/>
        </w:rPr>
        <w:t xml:space="preserve"> </w:t>
      </w:r>
      <w:r w:rsidRPr="00494F20">
        <w:rPr>
          <w:rFonts w:ascii="Century Gothic" w:hAnsi="Century Gothic" w:cstheme="minorHAnsi"/>
        </w:rPr>
        <w:t xml:space="preserve">a partir de la fecha de notificación del otorgamiento de la </w:t>
      </w:r>
      <w:r w:rsidR="00791F6F">
        <w:rPr>
          <w:rFonts w:ascii="Century Gothic" w:hAnsi="Century Gothic" w:cstheme="minorHAnsi"/>
        </w:rPr>
        <w:t>validación técnica.</w:t>
      </w:r>
      <w:r w:rsidRPr="00494F20">
        <w:rPr>
          <w:rFonts w:ascii="Century Gothic" w:hAnsi="Century Gothic" w:cstheme="minorHAnsi"/>
        </w:rPr>
        <w:t xml:space="preserve"> No obstante, en el caso de renovación de la </w:t>
      </w:r>
      <w:r w:rsidR="00D36588" w:rsidRPr="00494F20">
        <w:rPr>
          <w:rFonts w:ascii="Century Gothic" w:hAnsi="Century Gothic" w:cstheme="minorHAnsi"/>
        </w:rPr>
        <w:t>autorización</w:t>
      </w:r>
      <w:r w:rsidRPr="00494F20">
        <w:rPr>
          <w:rFonts w:ascii="Century Gothic" w:hAnsi="Century Gothic" w:cstheme="minorHAnsi"/>
        </w:rPr>
        <w:t>, no podrá quedar interrumpida la prestación del servicio.</w:t>
      </w:r>
    </w:p>
    <w:p w14:paraId="7D0CCA5B" w14:textId="77777777" w:rsidR="00265364" w:rsidRPr="00265364" w:rsidRDefault="00265364" w:rsidP="001E2C7D">
      <w:pPr>
        <w:spacing w:line="276" w:lineRule="auto"/>
        <w:ind w:left="142"/>
        <w:jc w:val="both"/>
        <w:rPr>
          <w:rFonts w:ascii="Century Gothic" w:hAnsi="Century Gothic" w:cstheme="minorHAnsi"/>
        </w:rPr>
      </w:pPr>
    </w:p>
    <w:p w14:paraId="5EE1B446" w14:textId="1369E19D" w:rsidR="00632B72" w:rsidRPr="00F062F1" w:rsidRDefault="009219F5" w:rsidP="00237AB8">
      <w:pPr>
        <w:pStyle w:val="Ttulo2"/>
        <w:spacing w:line="276" w:lineRule="auto"/>
        <w:ind w:left="142"/>
        <w:jc w:val="both"/>
        <w:rPr>
          <w:rFonts w:ascii="Century Gothic" w:hAnsi="Century Gothic" w:cstheme="minorHAnsi"/>
        </w:rPr>
      </w:pPr>
      <w:bookmarkStart w:id="26" w:name="_Prescripción_15ª:_Obligación"/>
      <w:bookmarkStart w:id="27" w:name="_Toc230677710"/>
      <w:bookmarkEnd w:id="26"/>
      <w:r>
        <w:rPr>
          <w:rFonts w:ascii="Century Gothic" w:hAnsi="Century Gothic" w:cstheme="minorHAnsi"/>
        </w:rPr>
        <w:t>Condición</w:t>
      </w:r>
      <w:r w:rsidR="00632B72" w:rsidRPr="00F062F1">
        <w:rPr>
          <w:rFonts w:ascii="Century Gothic" w:hAnsi="Century Gothic" w:cstheme="minorHAnsi"/>
        </w:rPr>
        <w:t xml:space="preserve"> </w:t>
      </w:r>
      <w:r w:rsidR="00EC0D15">
        <w:rPr>
          <w:rFonts w:ascii="Century Gothic" w:hAnsi="Century Gothic" w:cstheme="minorHAnsi"/>
        </w:rPr>
        <w:t>7</w:t>
      </w:r>
      <w:r w:rsidR="00350A34">
        <w:rPr>
          <w:rFonts w:ascii="Century Gothic" w:hAnsi="Century Gothic" w:cstheme="minorHAnsi"/>
        </w:rPr>
        <w:t>ª:</w:t>
      </w:r>
      <w:r w:rsidR="00632B72" w:rsidRPr="00F062F1">
        <w:rPr>
          <w:rFonts w:ascii="Century Gothic" w:hAnsi="Century Gothic" w:cstheme="minorHAnsi"/>
        </w:rPr>
        <w:t xml:space="preserve"> </w:t>
      </w:r>
      <w:r w:rsidR="00342CC4" w:rsidRPr="00F062F1">
        <w:rPr>
          <w:rFonts w:ascii="Century Gothic" w:hAnsi="Century Gothic" w:cstheme="minorHAnsi"/>
        </w:rPr>
        <w:t>S</w:t>
      </w:r>
      <w:r w:rsidR="00632B72" w:rsidRPr="00F062F1">
        <w:rPr>
          <w:rFonts w:ascii="Century Gothic" w:hAnsi="Century Gothic" w:cstheme="minorHAnsi"/>
        </w:rPr>
        <w:t xml:space="preserve">uministro de información </w:t>
      </w:r>
      <w:r w:rsidR="002F2937">
        <w:rPr>
          <w:rFonts w:ascii="Century Gothic" w:hAnsi="Century Gothic" w:cstheme="minorHAnsi"/>
        </w:rPr>
        <w:t xml:space="preserve">los usuarios del servicio y </w:t>
      </w:r>
      <w:r w:rsidR="00632B72" w:rsidRPr="00F062F1">
        <w:rPr>
          <w:rFonts w:ascii="Century Gothic" w:hAnsi="Century Gothic" w:cstheme="minorHAnsi"/>
        </w:rPr>
        <w:t>a la Autoridad Portuaria</w:t>
      </w:r>
      <w:bookmarkEnd w:id="27"/>
    </w:p>
    <w:p w14:paraId="11BA2050" w14:textId="6D1C4782" w:rsidR="00793913" w:rsidRDefault="00632B72" w:rsidP="003457E7">
      <w:pPr>
        <w:pStyle w:val="Prrafodelista"/>
        <w:numPr>
          <w:ilvl w:val="0"/>
          <w:numId w:val="2"/>
        </w:numPr>
        <w:spacing w:line="276" w:lineRule="auto"/>
        <w:ind w:left="142" w:firstLine="0"/>
        <w:jc w:val="both"/>
        <w:rPr>
          <w:rFonts w:ascii="Century Gothic" w:hAnsi="Century Gothic" w:cstheme="minorHAnsi"/>
          <w:i/>
          <w:iCs/>
        </w:rPr>
      </w:pPr>
      <w:bookmarkStart w:id="28" w:name="_Hlk498511761"/>
      <w:bookmarkStart w:id="29" w:name="_Hlk498510616"/>
      <w:bookmarkStart w:id="30" w:name="_Hlk498506623"/>
      <w:r w:rsidRPr="00237AB8">
        <w:rPr>
          <w:rFonts w:ascii="Century Gothic" w:hAnsi="Century Gothic" w:cstheme="minorHAnsi"/>
        </w:rPr>
        <w:t xml:space="preserve">El prestador del servicio deberá facilitar a la Autoridad Portuaria la información detallada que </w:t>
      </w:r>
      <w:r w:rsidR="00DC34E1" w:rsidRPr="00237AB8">
        <w:rPr>
          <w:rFonts w:ascii="Century Gothic" w:hAnsi="Century Gothic" w:cstheme="minorHAnsi"/>
        </w:rPr>
        <w:t>é</w:t>
      </w:r>
      <w:r w:rsidRPr="00237AB8">
        <w:rPr>
          <w:rFonts w:ascii="Century Gothic" w:hAnsi="Century Gothic" w:cstheme="minorHAnsi"/>
        </w:rPr>
        <w:t xml:space="preserve">sta precise para ejercer su responsabilidad de control sobre la correcta prestación del servicio, de forma que pueda verificar el cumplimiento del </w:t>
      </w:r>
      <w:r w:rsidR="00247564">
        <w:rPr>
          <w:rFonts w:ascii="Century Gothic" w:hAnsi="Century Gothic" w:cstheme="minorHAnsi"/>
        </w:rPr>
        <w:t xml:space="preserve">Reglamento UE 2017/352, el </w:t>
      </w:r>
      <w:r w:rsidRPr="00237AB8">
        <w:rPr>
          <w:rFonts w:ascii="Century Gothic" w:hAnsi="Century Gothic" w:cstheme="minorHAnsi"/>
        </w:rPr>
        <w:t>TRLPEMM</w:t>
      </w:r>
      <w:r w:rsidR="00247564">
        <w:rPr>
          <w:rFonts w:ascii="Century Gothic" w:hAnsi="Century Gothic" w:cstheme="minorHAnsi"/>
        </w:rPr>
        <w:t xml:space="preserve"> y</w:t>
      </w:r>
      <w:r w:rsidR="00237AB8">
        <w:rPr>
          <w:rFonts w:ascii="Century Gothic" w:hAnsi="Century Gothic" w:cstheme="minorHAnsi"/>
        </w:rPr>
        <w:t xml:space="preserve"> </w:t>
      </w:r>
      <w:r w:rsidRPr="00237AB8">
        <w:rPr>
          <w:rFonts w:ascii="Century Gothic" w:hAnsi="Century Gothic" w:cstheme="minorHAnsi"/>
        </w:rPr>
        <w:t>este P</w:t>
      </w:r>
      <w:r w:rsidR="00237AB8" w:rsidRPr="00237AB8">
        <w:rPr>
          <w:rFonts w:ascii="Century Gothic" w:hAnsi="Century Gothic" w:cstheme="minorHAnsi"/>
        </w:rPr>
        <w:t>C</w:t>
      </w:r>
      <w:r w:rsidRPr="00237AB8">
        <w:rPr>
          <w:rFonts w:ascii="Century Gothic" w:hAnsi="Century Gothic" w:cstheme="minorHAnsi"/>
        </w:rPr>
        <w:t>P</w:t>
      </w:r>
      <w:r w:rsidR="00247564">
        <w:rPr>
          <w:rFonts w:ascii="Century Gothic" w:hAnsi="Century Gothic" w:cstheme="minorHAnsi"/>
        </w:rPr>
        <w:t>, así como llevar a cabo</w:t>
      </w:r>
      <w:r w:rsidR="00237AB8">
        <w:rPr>
          <w:rFonts w:ascii="Century Gothic" w:hAnsi="Century Gothic" w:cstheme="minorHAnsi"/>
        </w:rPr>
        <w:t xml:space="preserve"> </w:t>
      </w:r>
      <w:r w:rsidR="00237AB8" w:rsidRPr="00237AB8">
        <w:rPr>
          <w:rFonts w:ascii="Century Gothic" w:hAnsi="Century Gothic" w:cstheme="minorHAnsi"/>
        </w:rPr>
        <w:t xml:space="preserve">las obligaciones </w:t>
      </w:r>
      <w:r w:rsidR="00237AB8">
        <w:rPr>
          <w:rFonts w:ascii="Century Gothic" w:hAnsi="Century Gothic" w:cstheme="minorHAnsi"/>
        </w:rPr>
        <w:t xml:space="preserve">de registro de proveedores de combustible </w:t>
      </w:r>
      <w:r w:rsidR="00237AB8" w:rsidRPr="00237AB8">
        <w:rPr>
          <w:rFonts w:ascii="Century Gothic" w:hAnsi="Century Gothic" w:cstheme="minorHAnsi"/>
        </w:rPr>
        <w:t xml:space="preserve">derivadas del cumplimiento del Anexo VI del Convenio MARPOL y </w:t>
      </w:r>
      <w:r w:rsidR="009B5387">
        <w:rPr>
          <w:rFonts w:ascii="Century Gothic" w:hAnsi="Century Gothic" w:cstheme="minorHAnsi"/>
        </w:rPr>
        <w:t>la normativa europea y española aplicable.</w:t>
      </w:r>
    </w:p>
    <w:p w14:paraId="5AAC68AA" w14:textId="76BECFE8" w:rsidR="00632B72" w:rsidRPr="002D41EA" w:rsidRDefault="00793913" w:rsidP="002D41EA">
      <w:pPr>
        <w:pStyle w:val="Prrafodelista"/>
        <w:numPr>
          <w:ilvl w:val="0"/>
          <w:numId w:val="2"/>
        </w:numPr>
        <w:spacing w:line="276" w:lineRule="auto"/>
        <w:ind w:left="142" w:firstLine="0"/>
        <w:jc w:val="both"/>
        <w:rPr>
          <w:rFonts w:ascii="Century Gothic" w:hAnsi="Century Gothic" w:cstheme="minorHAnsi"/>
          <w:i/>
          <w:iCs/>
        </w:rPr>
      </w:pPr>
      <w:r w:rsidRPr="002D41EA">
        <w:rPr>
          <w:rFonts w:ascii="Century Gothic" w:hAnsi="Century Gothic" w:cstheme="minorHAnsi"/>
        </w:rPr>
        <w:t xml:space="preserve">La información a suministrar por el prestador del servicio </w:t>
      </w:r>
      <w:r w:rsidR="0082225D" w:rsidRPr="002D41EA">
        <w:rPr>
          <w:rFonts w:ascii="Century Gothic" w:hAnsi="Century Gothic" w:cstheme="minorHAnsi"/>
        </w:rPr>
        <w:t>incluye</w:t>
      </w:r>
      <w:r w:rsidRPr="002D41EA">
        <w:rPr>
          <w:rFonts w:ascii="Century Gothic" w:hAnsi="Century Gothic" w:cstheme="minorHAnsi"/>
        </w:rPr>
        <w:t xml:space="preserve"> en todo caso</w:t>
      </w:r>
      <w:r w:rsidR="0082225D" w:rsidRPr="002D41EA">
        <w:rPr>
          <w:rFonts w:ascii="Century Gothic" w:hAnsi="Century Gothic" w:cstheme="minorHAnsi"/>
        </w:rPr>
        <w:t xml:space="preserve"> la entrega de</w:t>
      </w:r>
      <w:r w:rsidR="001A5E2D" w:rsidRPr="002D41EA">
        <w:rPr>
          <w:rFonts w:ascii="Century Gothic" w:hAnsi="Century Gothic" w:cstheme="minorHAnsi"/>
        </w:rPr>
        <w:t xml:space="preserve"> la nota </w:t>
      </w:r>
      <w:r w:rsidR="0082225D" w:rsidRPr="002D41EA">
        <w:rPr>
          <w:rFonts w:ascii="Century Gothic" w:hAnsi="Century Gothic" w:cstheme="minorHAnsi"/>
        </w:rPr>
        <w:t xml:space="preserve">de entrega de combustible (bunker delivery note, BDN) </w:t>
      </w:r>
      <w:r w:rsidR="007E0E0C" w:rsidRPr="002D41EA">
        <w:rPr>
          <w:rFonts w:ascii="Century Gothic" w:hAnsi="Century Gothic" w:cstheme="minorHAnsi"/>
        </w:rPr>
        <w:t xml:space="preserve">o informe de la terminal de regasificación </w:t>
      </w:r>
      <w:r w:rsidR="0082225D" w:rsidRPr="002D41EA">
        <w:rPr>
          <w:rFonts w:ascii="Century Gothic" w:hAnsi="Century Gothic" w:cstheme="minorHAnsi"/>
        </w:rPr>
        <w:t>con las características de calidad y volumen de combustible suministrado</w:t>
      </w:r>
      <w:r w:rsidR="004F1CAF" w:rsidRPr="002D41EA">
        <w:rPr>
          <w:rFonts w:ascii="Century Gothic" w:hAnsi="Century Gothic" w:cstheme="minorHAnsi"/>
        </w:rPr>
        <w:t xml:space="preserve"> de cada operación</w:t>
      </w:r>
      <w:r w:rsidR="0082225D" w:rsidRPr="002D41EA">
        <w:rPr>
          <w:rFonts w:ascii="Century Gothic" w:hAnsi="Century Gothic" w:cstheme="minorHAnsi"/>
        </w:rPr>
        <w:t>.</w:t>
      </w:r>
      <w:r w:rsidR="00FF1044" w:rsidRPr="002D41EA">
        <w:rPr>
          <w:rFonts w:ascii="Century Gothic" w:hAnsi="Century Gothic" w:cstheme="minorHAnsi"/>
        </w:rPr>
        <w:t xml:space="preserve"> </w:t>
      </w:r>
      <w:r w:rsidR="002D41EA" w:rsidRPr="002D41EA">
        <w:rPr>
          <w:rFonts w:ascii="Century Gothic" w:hAnsi="Century Gothic" w:cstheme="minorHAnsi"/>
        </w:rPr>
        <w:t>En los suministros de BioGNL y e-GNL se aportará la Prueba de Sostenibilidad asociada (Proof of Sustainability, PoS).</w:t>
      </w:r>
    </w:p>
    <w:bookmarkEnd w:id="28"/>
    <w:p w14:paraId="5B6F76B2" w14:textId="6A4C0581" w:rsidR="00237AB8" w:rsidRPr="00237AB8" w:rsidRDefault="00694575" w:rsidP="003457E7">
      <w:pPr>
        <w:pStyle w:val="Prrafodelista"/>
        <w:numPr>
          <w:ilvl w:val="0"/>
          <w:numId w:val="2"/>
        </w:numPr>
        <w:spacing w:line="276" w:lineRule="auto"/>
        <w:ind w:left="142" w:firstLine="0"/>
        <w:jc w:val="both"/>
        <w:rPr>
          <w:rFonts w:ascii="Century Gothic" w:hAnsi="Century Gothic" w:cstheme="minorHAnsi"/>
        </w:rPr>
      </w:pPr>
      <w:r w:rsidRPr="00237AB8">
        <w:rPr>
          <w:rFonts w:ascii="Century Gothic" w:hAnsi="Century Gothic" w:cstheme="minorHAnsi"/>
        </w:rPr>
        <w:t>E</w:t>
      </w:r>
      <w:r w:rsidR="00632B72" w:rsidRPr="00237AB8">
        <w:rPr>
          <w:rFonts w:ascii="Century Gothic" w:hAnsi="Century Gothic" w:cstheme="minorHAnsi"/>
        </w:rPr>
        <w:t xml:space="preserve">l prestador del servicio presentará </w:t>
      </w:r>
      <w:r w:rsidRPr="00237AB8">
        <w:rPr>
          <w:rFonts w:ascii="Century Gothic" w:hAnsi="Century Gothic" w:cstheme="minorHAnsi"/>
        </w:rPr>
        <w:t>cuando sea requerido</w:t>
      </w:r>
      <w:r w:rsidR="00FF5918" w:rsidRPr="00237AB8">
        <w:rPr>
          <w:rFonts w:ascii="Century Gothic" w:hAnsi="Century Gothic" w:cstheme="minorHAnsi"/>
        </w:rPr>
        <w:t xml:space="preserve"> por la Autoridad Portuaria</w:t>
      </w:r>
      <w:r w:rsidR="00632B72" w:rsidRPr="00237AB8">
        <w:rPr>
          <w:rFonts w:ascii="Century Gothic" w:hAnsi="Century Gothic" w:cstheme="minorHAnsi"/>
        </w:rPr>
        <w:t xml:space="preserve"> un informe detallado sobre la prestación del servicio, en el plazo de</w:t>
      </w:r>
      <w:r w:rsidR="006C61F9" w:rsidRPr="00237AB8">
        <w:rPr>
          <w:rFonts w:ascii="Century Gothic" w:hAnsi="Century Gothic" w:cstheme="minorHAnsi"/>
        </w:rPr>
        <w:t xml:space="preserve"> </w:t>
      </w:r>
      <w:r w:rsidR="006C61F9" w:rsidRPr="00237AB8">
        <w:rPr>
          <w:rFonts w:ascii="Century Gothic" w:hAnsi="Century Gothic" w:cstheme="minorHAnsi"/>
          <w:color w:val="FF0000"/>
        </w:rPr>
        <w:t>XX días</w:t>
      </w:r>
      <w:r w:rsidR="006C61F9" w:rsidRPr="00237AB8">
        <w:rPr>
          <w:rFonts w:ascii="Century Gothic" w:hAnsi="Century Gothic"/>
        </w:rPr>
        <w:t>.</w:t>
      </w:r>
    </w:p>
    <w:p w14:paraId="3FD90A5D" w14:textId="553D0ED2" w:rsidR="00E911D2" w:rsidRPr="00E911D2" w:rsidRDefault="00E911D2" w:rsidP="00834C4D">
      <w:pPr>
        <w:pStyle w:val="Prrafodelista"/>
        <w:numPr>
          <w:ilvl w:val="0"/>
          <w:numId w:val="2"/>
        </w:numPr>
        <w:spacing w:line="276" w:lineRule="auto"/>
        <w:ind w:left="142" w:firstLine="0"/>
        <w:jc w:val="both"/>
        <w:rPr>
          <w:rFonts w:ascii="Century Gothic" w:hAnsi="Century Gothic" w:cstheme="minorHAnsi"/>
          <w:i/>
          <w:iCs/>
        </w:rPr>
      </w:pPr>
      <w:r w:rsidRPr="00E911D2">
        <w:rPr>
          <w:rFonts w:ascii="Century Gothic" w:hAnsi="Century Gothic" w:cstheme="minorHAnsi"/>
        </w:rPr>
        <w:t>El prestador deberá notificar a la Autoridad Portuaria cualquier modificación que afecte al contenido de la documentación presentada para obtener el título habilitante o las validaciones técnicas que se produzca con posterioridad a su otorgamiento.</w:t>
      </w:r>
    </w:p>
    <w:p w14:paraId="1581F296" w14:textId="5710F021" w:rsidR="00237AB8" w:rsidRPr="00554B79" w:rsidRDefault="00802A51" w:rsidP="003457E7">
      <w:pPr>
        <w:pStyle w:val="Prrafodelista"/>
        <w:numPr>
          <w:ilvl w:val="0"/>
          <w:numId w:val="2"/>
        </w:numPr>
        <w:spacing w:line="276" w:lineRule="auto"/>
        <w:ind w:left="142" w:firstLine="0"/>
        <w:jc w:val="both"/>
        <w:rPr>
          <w:rFonts w:ascii="Century Gothic" w:hAnsi="Century Gothic" w:cstheme="minorHAnsi"/>
          <w:i/>
          <w:iCs/>
        </w:rPr>
      </w:pPr>
      <w:r w:rsidRPr="00237AB8">
        <w:rPr>
          <w:rFonts w:ascii="Century Gothic" w:hAnsi="Century Gothic" w:cstheme="minorHAnsi"/>
        </w:rPr>
        <w:t xml:space="preserve">La Autoridad Portuaria respetará el carácter confidencial de la información suministrada, debiendo </w:t>
      </w:r>
      <w:r w:rsidR="00741786">
        <w:rPr>
          <w:rFonts w:ascii="Century Gothic" w:hAnsi="Century Gothic" w:cstheme="minorHAnsi"/>
        </w:rPr>
        <w:t>ésta ser</w:t>
      </w:r>
      <w:r w:rsidRPr="00237AB8">
        <w:rPr>
          <w:rFonts w:ascii="Century Gothic" w:hAnsi="Century Gothic" w:cstheme="minorHAnsi"/>
        </w:rPr>
        <w:t xml:space="preserve"> solicitada a los prestadores de forma transparente </w:t>
      </w:r>
      <w:r w:rsidRPr="00237AB8">
        <w:rPr>
          <w:rFonts w:ascii="Century Gothic" w:hAnsi="Century Gothic" w:cstheme="minorHAnsi"/>
        </w:rPr>
        <w:lastRenderedPageBreak/>
        <w:t xml:space="preserve">y no discriminatoria conforme a lo establecido en la </w:t>
      </w:r>
      <w:r w:rsidR="00DC34E1" w:rsidRPr="00554B79">
        <w:rPr>
          <w:rFonts w:ascii="Century Gothic" w:hAnsi="Century Gothic" w:cstheme="minorHAnsi"/>
          <w:i/>
          <w:iCs/>
        </w:rPr>
        <w:t>L</w:t>
      </w:r>
      <w:r w:rsidRPr="00554B79">
        <w:rPr>
          <w:rFonts w:ascii="Century Gothic" w:hAnsi="Century Gothic" w:cstheme="minorHAnsi"/>
          <w:i/>
          <w:iCs/>
        </w:rPr>
        <w:t xml:space="preserve">ey 19/2013 de 9 de diciembre, de transparencia, acceso a la información pública y buen gobierno, </w:t>
      </w:r>
      <w:r w:rsidRPr="00554B79">
        <w:rPr>
          <w:rFonts w:ascii="Century Gothic" w:hAnsi="Century Gothic" w:cstheme="minorHAnsi"/>
        </w:rPr>
        <w:t>así como en la</w:t>
      </w:r>
      <w:r w:rsidRPr="00554B79">
        <w:rPr>
          <w:rFonts w:ascii="Century Gothic" w:hAnsi="Century Gothic" w:cstheme="minorHAnsi"/>
          <w:i/>
          <w:iCs/>
        </w:rPr>
        <w:t xml:space="preserve"> Ley Orgánica 3/2018, de 5 de diciembre, de Protección de Datos Personales y Garantía de los Derechos Digitales.</w:t>
      </w:r>
      <w:bookmarkStart w:id="31" w:name="_Prescripción_16ª:_Responsabilidades"/>
      <w:bookmarkStart w:id="32" w:name="_Prescripción_18ª:_Garantías"/>
      <w:bookmarkStart w:id="33" w:name="_Hlk499223632"/>
      <w:bookmarkEnd w:id="29"/>
      <w:bookmarkEnd w:id="30"/>
      <w:bookmarkEnd w:id="31"/>
      <w:bookmarkEnd w:id="32"/>
    </w:p>
    <w:p w14:paraId="12AAA39F" w14:textId="23D5E3B7" w:rsidR="00E96ED3" w:rsidRPr="00F062F1" w:rsidRDefault="00E96ED3" w:rsidP="00E96ED3">
      <w:pPr>
        <w:pStyle w:val="Ttulo2"/>
        <w:spacing w:line="276" w:lineRule="auto"/>
        <w:ind w:left="142"/>
        <w:jc w:val="both"/>
        <w:rPr>
          <w:rFonts w:ascii="Century Gothic" w:hAnsi="Century Gothic" w:cstheme="minorHAnsi"/>
        </w:rPr>
      </w:pPr>
      <w:bookmarkStart w:id="34" w:name="_Toc230677711"/>
      <w:r>
        <w:rPr>
          <w:rFonts w:ascii="Century Gothic" w:hAnsi="Century Gothic" w:cstheme="minorHAnsi"/>
        </w:rPr>
        <w:t xml:space="preserve">Condición </w:t>
      </w:r>
      <w:r w:rsidR="00EC0D15">
        <w:rPr>
          <w:rFonts w:ascii="Century Gothic" w:hAnsi="Century Gothic" w:cstheme="minorHAnsi"/>
        </w:rPr>
        <w:t>8</w:t>
      </w:r>
      <w:r>
        <w:rPr>
          <w:rFonts w:ascii="Century Gothic" w:hAnsi="Century Gothic" w:cstheme="minorHAnsi"/>
        </w:rPr>
        <w:t>ª:</w:t>
      </w:r>
      <w:r w:rsidRPr="00F062F1">
        <w:rPr>
          <w:rFonts w:ascii="Century Gothic" w:hAnsi="Century Gothic" w:cstheme="minorHAnsi"/>
        </w:rPr>
        <w:t xml:space="preserve"> </w:t>
      </w:r>
      <w:r w:rsidR="0089244F">
        <w:rPr>
          <w:rFonts w:ascii="Century Gothic" w:hAnsi="Century Gothic" w:cstheme="minorHAnsi"/>
        </w:rPr>
        <w:t>Garantías</w:t>
      </w:r>
      <w:bookmarkEnd w:id="34"/>
    </w:p>
    <w:bookmarkEnd w:id="33"/>
    <w:p w14:paraId="2CA2BADE" w14:textId="48C76903" w:rsidR="00632B72" w:rsidRPr="000E6672" w:rsidRDefault="00632B72" w:rsidP="006965D8">
      <w:pPr>
        <w:pStyle w:val="Prrafodelista"/>
        <w:numPr>
          <w:ilvl w:val="0"/>
          <w:numId w:val="10"/>
        </w:numPr>
        <w:tabs>
          <w:tab w:val="left" w:pos="0"/>
        </w:tabs>
        <w:spacing w:after="120" w:line="276" w:lineRule="auto"/>
        <w:ind w:left="142" w:firstLine="0"/>
        <w:jc w:val="both"/>
        <w:rPr>
          <w:rFonts w:ascii="Century Gothic" w:eastAsia="Times New Roman" w:hAnsi="Century Gothic" w:cstheme="minorHAnsi"/>
          <w:bCs/>
          <w:lang w:eastAsia="es-ES"/>
        </w:rPr>
      </w:pPr>
      <w:r w:rsidRPr="000E6672">
        <w:rPr>
          <w:rFonts w:ascii="Century Gothic" w:eastAsia="Times New Roman" w:hAnsi="Century Gothic" w:cstheme="minorHAnsi"/>
          <w:bCs/>
          <w:lang w:eastAsia="es-ES"/>
        </w:rPr>
        <w:t>A fin de garantizar el cumplimiento de las obligaciones derivadas de</w:t>
      </w:r>
      <w:r w:rsidR="000E6672">
        <w:rPr>
          <w:rFonts w:ascii="Century Gothic" w:eastAsia="Times New Roman" w:hAnsi="Century Gothic" w:cstheme="minorHAnsi"/>
          <w:bCs/>
          <w:lang w:eastAsia="es-ES"/>
        </w:rPr>
        <w:t xml:space="preserve"> </w:t>
      </w:r>
      <w:r w:rsidRPr="000E6672">
        <w:rPr>
          <w:rFonts w:ascii="Century Gothic" w:eastAsia="Times New Roman" w:hAnsi="Century Gothic" w:cstheme="minorHAnsi"/>
          <w:bCs/>
          <w:lang w:eastAsia="es-ES"/>
        </w:rPr>
        <w:t>est</w:t>
      </w:r>
      <w:r w:rsidR="007879D8" w:rsidRPr="000E6672">
        <w:rPr>
          <w:rFonts w:ascii="Century Gothic" w:eastAsia="Times New Roman" w:hAnsi="Century Gothic" w:cstheme="minorHAnsi"/>
          <w:bCs/>
          <w:lang w:eastAsia="es-ES"/>
        </w:rPr>
        <w:t>e P</w:t>
      </w:r>
      <w:r w:rsidR="000E6672">
        <w:rPr>
          <w:rFonts w:ascii="Century Gothic" w:eastAsia="Times New Roman" w:hAnsi="Century Gothic" w:cstheme="minorHAnsi"/>
          <w:bCs/>
          <w:lang w:eastAsia="es-ES"/>
        </w:rPr>
        <w:t xml:space="preserve">CP y </w:t>
      </w:r>
      <w:r w:rsidRPr="000E6672">
        <w:rPr>
          <w:rFonts w:ascii="Century Gothic" w:eastAsia="Times New Roman" w:hAnsi="Century Gothic" w:cstheme="minorHAnsi"/>
          <w:bCs/>
          <w:lang w:eastAsia="es-ES"/>
        </w:rPr>
        <w:t>de los daños y perjuicios que pudieran producirse</w:t>
      </w:r>
      <w:r w:rsidR="00494F20">
        <w:rPr>
          <w:rFonts w:ascii="Century Gothic" w:eastAsia="Times New Roman" w:hAnsi="Century Gothic" w:cstheme="minorHAnsi"/>
          <w:bCs/>
          <w:lang w:eastAsia="es-ES"/>
        </w:rPr>
        <w:t>,</w:t>
      </w:r>
      <w:r w:rsidRPr="000E6672">
        <w:rPr>
          <w:rFonts w:ascii="Century Gothic" w:eastAsia="Times New Roman" w:hAnsi="Century Gothic" w:cstheme="minorHAnsi"/>
          <w:bCs/>
          <w:lang w:eastAsia="es-ES"/>
        </w:rPr>
        <w:t xml:space="preserve"> el </w:t>
      </w:r>
      <w:r w:rsidR="00736C65">
        <w:rPr>
          <w:rFonts w:ascii="Century Gothic" w:eastAsia="Times New Roman" w:hAnsi="Century Gothic" w:cstheme="minorHAnsi"/>
          <w:bCs/>
          <w:lang w:eastAsia="es-ES"/>
        </w:rPr>
        <w:t>titular de la autorización</w:t>
      </w:r>
      <w:r w:rsidRPr="000E6672">
        <w:rPr>
          <w:rFonts w:ascii="Century Gothic" w:eastAsia="Times New Roman" w:hAnsi="Century Gothic" w:cstheme="minorHAnsi"/>
          <w:bCs/>
          <w:lang w:eastAsia="es-ES"/>
        </w:rPr>
        <w:t xml:space="preserve"> deberá constituir antes de iniciar su actividad una garantía a favor de la Autoridad Portuaria, cuya cuantía</w:t>
      </w:r>
      <w:r w:rsidR="0023619D" w:rsidRPr="000E6672">
        <w:rPr>
          <w:rFonts w:ascii="Century Gothic" w:eastAsia="Times New Roman" w:hAnsi="Century Gothic" w:cstheme="minorHAnsi"/>
          <w:bCs/>
          <w:lang w:eastAsia="es-ES"/>
        </w:rPr>
        <w:t xml:space="preserve"> será como mínimo</w:t>
      </w:r>
      <w:r w:rsidR="00467BA4" w:rsidRPr="000E6672">
        <w:rPr>
          <w:rFonts w:ascii="Century Gothic" w:eastAsia="Times New Roman" w:hAnsi="Century Gothic" w:cstheme="minorHAnsi"/>
          <w:bCs/>
          <w:lang w:eastAsia="es-ES"/>
        </w:rPr>
        <w:t xml:space="preserve"> de </w:t>
      </w:r>
      <w:r w:rsidR="00467BA4" w:rsidRPr="000E6672">
        <w:rPr>
          <w:rFonts w:ascii="Century Gothic" w:eastAsia="Times New Roman" w:hAnsi="Century Gothic" w:cstheme="minorHAnsi"/>
          <w:bCs/>
          <w:color w:val="FF0000"/>
          <w:lang w:eastAsia="es-ES"/>
        </w:rPr>
        <w:t>XXXX euros.</w:t>
      </w:r>
    </w:p>
    <w:p w14:paraId="45038445" w14:textId="6E17DF92" w:rsidR="00632B72" w:rsidRPr="009821DB" w:rsidRDefault="00632B72" w:rsidP="006965D8">
      <w:pPr>
        <w:pStyle w:val="Prrafodelista"/>
        <w:numPr>
          <w:ilvl w:val="0"/>
          <w:numId w:val="10"/>
        </w:numPr>
        <w:tabs>
          <w:tab w:val="left" w:pos="0"/>
        </w:tabs>
        <w:spacing w:after="120" w:line="276" w:lineRule="auto"/>
        <w:ind w:left="142" w:firstLine="0"/>
        <w:jc w:val="both"/>
        <w:rPr>
          <w:rFonts w:ascii="Century Gothic" w:eastAsia="Times New Roman" w:hAnsi="Century Gothic" w:cstheme="minorHAnsi"/>
          <w:bCs/>
          <w:lang w:eastAsia="es-ES"/>
        </w:rPr>
      </w:pPr>
      <w:r w:rsidRPr="00B3212F">
        <w:rPr>
          <w:rFonts w:ascii="Century Gothic" w:eastAsia="Times New Roman" w:hAnsi="Century Gothic" w:cstheme="minorHAnsi"/>
          <w:bCs/>
          <w:lang w:eastAsia="es-ES"/>
        </w:rPr>
        <w:t>La garantía se constituirá en metálico,</w:t>
      </w:r>
      <w:r w:rsidR="009C4F2C">
        <w:rPr>
          <w:rFonts w:ascii="Century Gothic" w:eastAsia="Times New Roman" w:hAnsi="Century Gothic" w:cstheme="minorHAnsi"/>
          <w:bCs/>
          <w:lang w:eastAsia="es-ES"/>
        </w:rPr>
        <w:t xml:space="preserve"> mediante </w:t>
      </w:r>
      <w:r w:rsidR="009C4F2C" w:rsidRPr="00197138">
        <w:rPr>
          <w:rFonts w:ascii="Century Gothic" w:eastAsia="Times New Roman" w:hAnsi="Century Gothic" w:cstheme="minorHAnsi"/>
          <w:bCs/>
          <w:lang w:eastAsia="es-ES"/>
        </w:rPr>
        <w:t xml:space="preserve">transferencia bancaria, cheque nominativo conformado a nombre de la Autoridad Portuaria de </w:t>
      </w:r>
      <w:r w:rsidR="00197138" w:rsidRPr="00197138">
        <w:rPr>
          <w:rFonts w:ascii="Century Gothic" w:eastAsia="Times New Roman" w:hAnsi="Century Gothic" w:cstheme="minorHAnsi"/>
          <w:bCs/>
          <w:color w:val="FF0000"/>
          <w:lang w:eastAsia="es-ES"/>
        </w:rPr>
        <w:t>X</w:t>
      </w:r>
      <w:r w:rsidR="009C4F2C" w:rsidRPr="00197138">
        <w:rPr>
          <w:rFonts w:ascii="Century Gothic" w:eastAsia="Times New Roman" w:hAnsi="Century Gothic" w:cstheme="minorHAnsi"/>
          <w:bCs/>
          <w:color w:val="FF0000"/>
          <w:lang w:eastAsia="es-ES"/>
        </w:rPr>
        <w:t>XX</w:t>
      </w:r>
      <w:r w:rsidRPr="00B3212F">
        <w:rPr>
          <w:rFonts w:ascii="Century Gothic" w:eastAsia="Times New Roman" w:hAnsi="Century Gothic" w:cstheme="minorHAnsi"/>
          <w:bCs/>
          <w:lang w:eastAsia="es-ES"/>
        </w:rPr>
        <w:t xml:space="preserve"> o mediante aval bancario o de compañía de seguros, conforme al modelo que apruebe la Autoridad Portuaria. La garantía, que será solidaria, podrá ser otorgada por persona o entidad distinta del titular de la</w:t>
      </w:r>
      <w:r w:rsidR="00736C65">
        <w:rPr>
          <w:rFonts w:ascii="Century Gothic" w:eastAsia="Times New Roman" w:hAnsi="Century Gothic" w:cstheme="minorHAnsi"/>
          <w:bCs/>
          <w:lang w:eastAsia="es-ES"/>
        </w:rPr>
        <w:t xml:space="preserve"> autorización</w:t>
      </w:r>
      <w:r w:rsidRPr="00B3212F">
        <w:rPr>
          <w:rFonts w:ascii="Century Gothic" w:eastAsia="Times New Roman" w:hAnsi="Century Gothic" w:cstheme="minorHAnsi"/>
          <w:bCs/>
          <w:lang w:eastAsia="es-ES"/>
        </w:rPr>
        <w:t>, entendiénd</w:t>
      </w:r>
      <w:r w:rsidRPr="00455FFC">
        <w:rPr>
          <w:rFonts w:ascii="Century Gothic" w:eastAsia="Times New Roman" w:hAnsi="Century Gothic" w:cstheme="minorHAnsi"/>
          <w:bCs/>
          <w:lang w:eastAsia="es-ES"/>
        </w:rPr>
        <w:t>ose, en todo caso, que la garantía queda sujeta a las mismas responsabilidades que si fuese constituida por él mismo y sin que puedan utilizarse los beneficios de exc</w:t>
      </w:r>
      <w:r w:rsidR="006623B9">
        <w:rPr>
          <w:rFonts w:ascii="Century Gothic" w:eastAsia="Times New Roman" w:hAnsi="Century Gothic" w:cstheme="minorHAnsi"/>
          <w:bCs/>
          <w:lang w:eastAsia="es-ES"/>
        </w:rPr>
        <w:t>l</w:t>
      </w:r>
      <w:r w:rsidRPr="00455FFC">
        <w:rPr>
          <w:rFonts w:ascii="Century Gothic" w:eastAsia="Times New Roman" w:hAnsi="Century Gothic" w:cstheme="minorHAnsi"/>
          <w:bCs/>
          <w:lang w:eastAsia="es-ES"/>
        </w:rPr>
        <w:t>usión, división y orden.</w:t>
      </w:r>
      <w:r w:rsidRPr="009821DB">
        <w:rPr>
          <w:rFonts w:ascii="Century Gothic" w:eastAsia="Times New Roman" w:hAnsi="Century Gothic" w:cstheme="minorHAnsi"/>
          <w:bCs/>
          <w:lang w:eastAsia="es-ES"/>
        </w:rPr>
        <w:t xml:space="preserve"> </w:t>
      </w:r>
    </w:p>
    <w:p w14:paraId="32F61339" w14:textId="1FAAF804" w:rsidR="00632B72" w:rsidRPr="00F062F1" w:rsidRDefault="00632B72" w:rsidP="006965D8">
      <w:pPr>
        <w:pStyle w:val="Prrafodelista"/>
        <w:numPr>
          <w:ilvl w:val="0"/>
          <w:numId w:val="10"/>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La constitución de la garantía no supone en ningún caso que la responsabilidad del titular de la </w:t>
      </w:r>
      <w:r w:rsidR="007343C0">
        <w:rPr>
          <w:rFonts w:ascii="Century Gothic" w:eastAsia="Times New Roman" w:hAnsi="Century Gothic" w:cstheme="minorHAnsi"/>
          <w:bCs/>
          <w:lang w:eastAsia="es-ES"/>
        </w:rPr>
        <w:t>autorización</w:t>
      </w:r>
      <w:r w:rsidRPr="00F062F1">
        <w:rPr>
          <w:rFonts w:ascii="Century Gothic" w:eastAsia="Times New Roman" w:hAnsi="Century Gothic" w:cstheme="minorHAnsi"/>
          <w:bCs/>
          <w:lang w:eastAsia="es-ES"/>
        </w:rPr>
        <w:t xml:space="preserve"> quede limitada a su importe.</w:t>
      </w:r>
    </w:p>
    <w:p w14:paraId="254C487A" w14:textId="7500A6D6" w:rsidR="00632B72" w:rsidRPr="00F062F1" w:rsidRDefault="007343C0" w:rsidP="006965D8">
      <w:pPr>
        <w:pStyle w:val="Prrafodelista"/>
        <w:numPr>
          <w:ilvl w:val="0"/>
          <w:numId w:val="10"/>
        </w:numPr>
        <w:tabs>
          <w:tab w:val="left" w:pos="0"/>
        </w:tabs>
        <w:spacing w:after="120" w:line="276" w:lineRule="auto"/>
        <w:ind w:left="142" w:firstLine="0"/>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 xml:space="preserve">A vencimiento de </w:t>
      </w:r>
      <w:r w:rsidR="00632B72" w:rsidRPr="00F062F1">
        <w:rPr>
          <w:rFonts w:ascii="Century Gothic" w:eastAsia="Times New Roman" w:hAnsi="Century Gothic" w:cstheme="minorHAnsi"/>
          <w:bCs/>
          <w:lang w:eastAsia="es-ES"/>
        </w:rPr>
        <w:t xml:space="preserve">la </w:t>
      </w:r>
      <w:r>
        <w:rPr>
          <w:rFonts w:ascii="Century Gothic" w:eastAsia="Times New Roman" w:hAnsi="Century Gothic" w:cstheme="minorHAnsi"/>
          <w:bCs/>
          <w:lang w:eastAsia="es-ES"/>
        </w:rPr>
        <w:t>autorización</w:t>
      </w:r>
      <w:r w:rsidR="00632B72" w:rsidRPr="00F062F1">
        <w:rPr>
          <w:rFonts w:ascii="Century Gothic" w:eastAsia="Times New Roman" w:hAnsi="Century Gothic" w:cstheme="minorHAnsi"/>
          <w:bCs/>
          <w:lang w:eastAsia="es-ES"/>
        </w:rPr>
        <w:t xml:space="preserve"> se llevará a cabo la devolución de la garantía o su cancelación, una vez satisfecho el pago de las obligaciones pendientes con la Autoridad Portuaria y siempre que no proceda la pérdida total o parcial de la misma por responsabilidades en que hubiera incurrido el prestador del servicio y no hayan sido abonadas.</w:t>
      </w:r>
    </w:p>
    <w:p w14:paraId="7A8530D5" w14:textId="2130C439" w:rsidR="00632B72" w:rsidRPr="00F062F1" w:rsidRDefault="00632B72" w:rsidP="006965D8">
      <w:pPr>
        <w:pStyle w:val="Prrafodelista"/>
        <w:numPr>
          <w:ilvl w:val="0"/>
          <w:numId w:val="10"/>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El incumplimiento de las obligaciones económicas y de las condiciones establecidas en este P</w:t>
      </w:r>
      <w:r w:rsidR="007343C0">
        <w:rPr>
          <w:rFonts w:ascii="Century Gothic" w:eastAsia="Times New Roman" w:hAnsi="Century Gothic" w:cstheme="minorHAnsi"/>
          <w:bCs/>
          <w:lang w:eastAsia="es-ES"/>
        </w:rPr>
        <w:t>CP</w:t>
      </w:r>
      <w:r w:rsidRPr="00F062F1">
        <w:rPr>
          <w:rFonts w:ascii="Century Gothic" w:eastAsia="Times New Roman" w:hAnsi="Century Gothic" w:cstheme="minorHAnsi"/>
          <w:bCs/>
          <w:lang w:eastAsia="es-ES"/>
        </w:rPr>
        <w:t xml:space="preserve"> por parte del prestador permitirá la ejecución o disposición inmediata de la garantía constituida.</w:t>
      </w:r>
    </w:p>
    <w:p w14:paraId="62AF4447" w14:textId="39CC5052" w:rsidR="00632B72" w:rsidRPr="00F062F1" w:rsidRDefault="00632B72" w:rsidP="006965D8">
      <w:pPr>
        <w:pStyle w:val="Prrafodelista"/>
        <w:numPr>
          <w:ilvl w:val="0"/>
          <w:numId w:val="10"/>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Cuando</w:t>
      </w:r>
      <w:r w:rsidR="00741786">
        <w:rPr>
          <w:rFonts w:ascii="Century Gothic" w:eastAsia="Times New Roman" w:hAnsi="Century Gothic" w:cstheme="minorHAnsi"/>
          <w:bCs/>
          <w:lang w:eastAsia="es-ES"/>
        </w:rPr>
        <w:t xml:space="preserve"> </w:t>
      </w:r>
      <w:r w:rsidRPr="00F062F1">
        <w:rPr>
          <w:rFonts w:ascii="Century Gothic" w:eastAsia="Times New Roman" w:hAnsi="Century Gothic" w:cstheme="minorHAnsi"/>
          <w:bCs/>
          <w:lang w:eastAsia="es-ES"/>
        </w:rPr>
        <w:t>la Autoridad Portuaria tuviese que hacer uso de la garantía, total o parcialmente, el prestador vendrá obligado a reponerla o complementarla en el plazo de</w:t>
      </w:r>
      <w:r w:rsidR="00A87BAA">
        <w:rPr>
          <w:rFonts w:ascii="Century Gothic" w:eastAsia="Times New Roman" w:hAnsi="Century Gothic" w:cstheme="minorHAnsi"/>
          <w:bCs/>
          <w:lang w:eastAsia="es-ES"/>
        </w:rPr>
        <w:t xml:space="preserve"> </w:t>
      </w:r>
      <w:r w:rsidR="00A87BAA">
        <w:rPr>
          <w:rFonts w:ascii="Century Gothic" w:eastAsia="Times New Roman" w:hAnsi="Century Gothic" w:cstheme="minorHAnsi"/>
          <w:bCs/>
          <w:color w:val="FF0000"/>
          <w:lang w:eastAsia="es-ES"/>
        </w:rPr>
        <w:t>XX días,</w:t>
      </w:r>
      <w:r w:rsidRPr="00F062F1">
        <w:rPr>
          <w:rFonts w:ascii="Century Gothic" w:eastAsia="Times New Roman" w:hAnsi="Century Gothic" w:cstheme="minorHAnsi"/>
          <w:bCs/>
          <w:lang w:eastAsia="es-ES"/>
        </w:rPr>
        <w:t xml:space="preserve"> contado desde el acto de disposición.</w:t>
      </w:r>
    </w:p>
    <w:p w14:paraId="483E6422" w14:textId="599C7BDE" w:rsidR="001F4618" w:rsidRPr="00F062F1" w:rsidRDefault="00E96ED3" w:rsidP="00494F20">
      <w:pPr>
        <w:pStyle w:val="Ttulo2"/>
        <w:ind w:left="142"/>
        <w:jc w:val="both"/>
        <w:rPr>
          <w:rFonts w:ascii="Century Gothic" w:hAnsi="Century Gothic" w:cstheme="minorHAnsi"/>
        </w:rPr>
      </w:pPr>
      <w:bookmarkStart w:id="35" w:name="_Prescripción_19ª:_Penalizaciones"/>
      <w:bookmarkStart w:id="36" w:name="_Prescripción_11ª:_Obligaciones"/>
      <w:bookmarkStart w:id="37" w:name="_Toc230677712"/>
      <w:bookmarkEnd w:id="35"/>
      <w:bookmarkEnd w:id="36"/>
      <w:r>
        <w:rPr>
          <w:rFonts w:ascii="Century Gothic" w:hAnsi="Century Gothic" w:cstheme="minorHAnsi"/>
        </w:rPr>
        <w:t>Condición</w:t>
      </w:r>
      <w:r w:rsidR="001F4618" w:rsidRPr="00F062F1">
        <w:rPr>
          <w:rFonts w:ascii="Century Gothic" w:hAnsi="Century Gothic" w:cstheme="minorHAnsi"/>
        </w:rPr>
        <w:t xml:space="preserve"> </w:t>
      </w:r>
      <w:r w:rsidR="00EC0D15">
        <w:rPr>
          <w:rFonts w:ascii="Century Gothic" w:hAnsi="Century Gothic" w:cstheme="minorHAnsi"/>
        </w:rPr>
        <w:t>9</w:t>
      </w:r>
      <w:r w:rsidR="00523CCF" w:rsidRPr="00F062F1">
        <w:rPr>
          <w:rFonts w:ascii="Century Gothic" w:hAnsi="Century Gothic" w:cstheme="minorHAnsi"/>
        </w:rPr>
        <w:t>ª</w:t>
      </w:r>
      <w:r w:rsidR="001F4618" w:rsidRPr="00F062F1">
        <w:rPr>
          <w:rFonts w:ascii="Century Gothic" w:hAnsi="Century Gothic" w:cstheme="minorHAnsi"/>
        </w:rPr>
        <w:t>: Tasas portuarias</w:t>
      </w:r>
      <w:bookmarkEnd w:id="37"/>
    </w:p>
    <w:p w14:paraId="1C9452EE" w14:textId="1B2D63FF" w:rsidR="001F4618" w:rsidRPr="00364274" w:rsidRDefault="00364274" w:rsidP="00364274">
      <w:pPr>
        <w:spacing w:after="120" w:line="276" w:lineRule="auto"/>
        <w:ind w:left="142"/>
        <w:jc w:val="both"/>
        <w:rPr>
          <w:rFonts w:ascii="Century Gothic" w:hAnsi="Century Gothic"/>
        </w:rPr>
      </w:pPr>
      <w:r w:rsidRPr="00364274">
        <w:rPr>
          <w:rFonts w:ascii="Century Gothic" w:hAnsi="Century Gothic"/>
        </w:rPr>
        <w:t>L</w:t>
      </w:r>
      <w:r w:rsidR="001F4618" w:rsidRPr="00364274">
        <w:rPr>
          <w:rFonts w:ascii="Century Gothic" w:hAnsi="Century Gothic"/>
        </w:rPr>
        <w:t xml:space="preserve">os </w:t>
      </w:r>
      <w:r w:rsidR="001F4618" w:rsidRPr="00364274">
        <w:rPr>
          <w:rFonts w:ascii="Century Gothic" w:eastAsia="Times New Roman" w:hAnsi="Century Gothic" w:cstheme="minorHAnsi"/>
          <w:bCs/>
          <w:lang w:eastAsia="es-ES"/>
        </w:rPr>
        <w:t>titulares</w:t>
      </w:r>
      <w:r w:rsidR="001F4618" w:rsidRPr="00364274">
        <w:rPr>
          <w:rFonts w:ascii="Century Gothic" w:hAnsi="Century Gothic"/>
        </w:rPr>
        <w:t xml:space="preserve"> de </w:t>
      </w:r>
      <w:r w:rsidR="00736DE7" w:rsidRPr="00364274">
        <w:rPr>
          <w:rFonts w:ascii="Century Gothic" w:hAnsi="Century Gothic"/>
        </w:rPr>
        <w:t>autorizaciones</w:t>
      </w:r>
      <w:r w:rsidR="001F4618" w:rsidRPr="00364274">
        <w:rPr>
          <w:rFonts w:ascii="Century Gothic" w:hAnsi="Century Gothic"/>
        </w:rPr>
        <w:t xml:space="preserve"> para la prestación del servicio </w:t>
      </w:r>
      <w:r w:rsidR="00633780" w:rsidRPr="00364274">
        <w:rPr>
          <w:rFonts w:ascii="Century Gothic" w:hAnsi="Century Gothic"/>
        </w:rPr>
        <w:t xml:space="preserve">de </w:t>
      </w:r>
      <w:r w:rsidR="007C3BD1" w:rsidRPr="00364274">
        <w:rPr>
          <w:rFonts w:ascii="Century Gothic" w:hAnsi="Century Gothic"/>
        </w:rPr>
        <w:t xml:space="preserve">suministro de </w:t>
      </w:r>
      <w:r w:rsidR="008F0D0C" w:rsidRPr="00364274">
        <w:rPr>
          <w:rFonts w:ascii="Century Gothic" w:hAnsi="Century Gothic"/>
        </w:rPr>
        <w:t xml:space="preserve">GNL a buques como </w:t>
      </w:r>
      <w:r w:rsidR="007C3BD1" w:rsidRPr="00364274">
        <w:rPr>
          <w:rFonts w:ascii="Century Gothic" w:hAnsi="Century Gothic"/>
        </w:rPr>
        <w:t>combustible</w:t>
      </w:r>
      <w:r w:rsidR="00633780" w:rsidRPr="00364274">
        <w:rPr>
          <w:rFonts w:ascii="Century Gothic" w:hAnsi="Century Gothic"/>
        </w:rPr>
        <w:t xml:space="preserve"> </w:t>
      </w:r>
      <w:r w:rsidR="00554B79" w:rsidRPr="00364274">
        <w:rPr>
          <w:rFonts w:ascii="Century Gothic" w:hAnsi="Century Gothic"/>
        </w:rPr>
        <w:t>abonarán</w:t>
      </w:r>
      <w:r w:rsidR="001F4618" w:rsidRPr="00364274">
        <w:rPr>
          <w:rFonts w:ascii="Century Gothic" w:hAnsi="Century Gothic"/>
        </w:rPr>
        <w:t xml:space="preserve"> las siguientes tasas:</w:t>
      </w:r>
    </w:p>
    <w:p w14:paraId="4263A71A" w14:textId="44ECED80" w:rsidR="00364274" w:rsidRPr="00364274" w:rsidRDefault="001F4618" w:rsidP="00334E5D">
      <w:pPr>
        <w:pStyle w:val="Prrafodelista"/>
        <w:numPr>
          <w:ilvl w:val="0"/>
          <w:numId w:val="1"/>
        </w:numPr>
        <w:spacing w:line="276" w:lineRule="auto"/>
        <w:ind w:left="142" w:firstLine="0"/>
        <w:jc w:val="both"/>
        <w:rPr>
          <w:rFonts w:ascii="Century Gothic" w:hAnsi="Century Gothic" w:cstheme="minorHAnsi"/>
          <w:u w:val="single"/>
        </w:rPr>
      </w:pPr>
      <w:r w:rsidRPr="00364274">
        <w:rPr>
          <w:rFonts w:ascii="Century Gothic" w:hAnsi="Century Gothic" w:cstheme="minorHAnsi"/>
          <w:u w:val="single"/>
        </w:rPr>
        <w:t>Tasa de actividad</w:t>
      </w:r>
    </w:p>
    <w:p w14:paraId="4C6327C2" w14:textId="77777777" w:rsidR="00633780" w:rsidRPr="0007020F" w:rsidRDefault="00633780" w:rsidP="006965D8">
      <w:pPr>
        <w:pStyle w:val="Prrafodelista"/>
        <w:numPr>
          <w:ilvl w:val="0"/>
          <w:numId w:val="4"/>
        </w:numPr>
        <w:spacing w:before="120" w:line="276" w:lineRule="auto"/>
        <w:ind w:left="142" w:firstLine="0"/>
        <w:jc w:val="both"/>
        <w:rPr>
          <w:rFonts w:ascii="Century Gothic" w:hAnsi="Century Gothic" w:cstheme="minorHAnsi"/>
        </w:rPr>
      </w:pPr>
      <w:r w:rsidRPr="00F062F1">
        <w:rPr>
          <w:rFonts w:ascii="Century Gothic" w:hAnsi="Century Gothic" w:cstheme="minorHAnsi"/>
        </w:rPr>
        <w:t xml:space="preserve">La cuota íntegra de la tasa se calculará aplicando a la base imponible el tipo de </w:t>
      </w:r>
      <w:r w:rsidRPr="0007020F">
        <w:rPr>
          <w:rFonts w:ascii="Century Gothic" w:hAnsi="Century Gothic" w:cstheme="minorHAnsi"/>
        </w:rPr>
        <w:t>gravamen de acuerdo con lo siguiente:</w:t>
      </w:r>
    </w:p>
    <w:p w14:paraId="12F92508" w14:textId="3E4C3ECE" w:rsidR="00633780" w:rsidRPr="00364274" w:rsidRDefault="00633780" w:rsidP="006965D8">
      <w:pPr>
        <w:pStyle w:val="Prrafodelista"/>
        <w:numPr>
          <w:ilvl w:val="1"/>
          <w:numId w:val="4"/>
        </w:numPr>
        <w:tabs>
          <w:tab w:val="left" w:pos="284"/>
        </w:tabs>
        <w:spacing w:before="120" w:line="276" w:lineRule="auto"/>
        <w:ind w:left="142" w:firstLine="0"/>
        <w:jc w:val="both"/>
        <w:rPr>
          <w:rFonts w:ascii="Century Gothic" w:hAnsi="Century Gothic" w:cstheme="minorHAnsi"/>
        </w:rPr>
      </w:pPr>
      <w:r w:rsidRPr="0007020F">
        <w:rPr>
          <w:rFonts w:ascii="Century Gothic" w:hAnsi="Century Gothic" w:cstheme="minorHAnsi"/>
        </w:rPr>
        <w:t>La base imponible será</w:t>
      </w:r>
      <w:r w:rsidR="00E073F1" w:rsidRPr="0007020F">
        <w:rPr>
          <w:rFonts w:ascii="Century Gothic" w:hAnsi="Century Gothic" w:cstheme="minorHAnsi"/>
        </w:rPr>
        <w:t>n</w:t>
      </w:r>
      <w:r w:rsidR="00D411CD" w:rsidRPr="0007020F">
        <w:rPr>
          <w:rFonts w:ascii="Century Gothic" w:hAnsi="Century Gothic" w:cstheme="minorHAnsi"/>
        </w:rPr>
        <w:t xml:space="preserve"> </w:t>
      </w:r>
      <w:r w:rsidR="004573FE" w:rsidRPr="0007020F">
        <w:rPr>
          <w:rFonts w:ascii="Century Gothic" w:hAnsi="Century Gothic" w:cstheme="minorHAnsi"/>
        </w:rPr>
        <w:t>l</w:t>
      </w:r>
      <w:r w:rsidR="005112C4">
        <w:rPr>
          <w:rFonts w:ascii="Century Gothic" w:hAnsi="Century Gothic" w:cstheme="minorHAnsi"/>
        </w:rPr>
        <w:t xml:space="preserve">as </w:t>
      </w:r>
      <w:r w:rsidR="005112C4" w:rsidRPr="003E366C">
        <w:rPr>
          <w:rFonts w:ascii="Century Gothic" w:hAnsi="Century Gothic" w:cstheme="minorHAnsi"/>
        </w:rPr>
        <w:t>unidades de energía (MWh)/toneladas suministradas</w:t>
      </w:r>
      <w:r w:rsidR="00532A71" w:rsidRPr="0007020F">
        <w:rPr>
          <w:rFonts w:ascii="Century Gothic" w:hAnsi="Century Gothic" w:cstheme="minorHAnsi"/>
        </w:rPr>
        <w:t xml:space="preserve"> </w:t>
      </w:r>
      <w:r w:rsidR="00532A71" w:rsidRPr="0007020F">
        <w:rPr>
          <w:rFonts w:ascii="Century Gothic" w:hAnsi="Century Gothic" w:cstheme="minorHAnsi"/>
          <w:color w:val="FF0000"/>
        </w:rPr>
        <w:t xml:space="preserve">(a particularizar por la Autoridad </w:t>
      </w:r>
      <w:r w:rsidR="00532A71" w:rsidRPr="00446BCB">
        <w:rPr>
          <w:rFonts w:ascii="Century Gothic" w:hAnsi="Century Gothic" w:cstheme="minorHAnsi"/>
          <w:color w:val="FF0000"/>
        </w:rPr>
        <w:t>Portuaria)</w:t>
      </w:r>
      <w:r w:rsidRPr="00446BCB">
        <w:rPr>
          <w:rFonts w:ascii="Century Gothic" w:hAnsi="Century Gothic" w:cstheme="minorHAnsi"/>
          <w:color w:val="FF0000"/>
        </w:rPr>
        <w:t>.</w:t>
      </w:r>
    </w:p>
    <w:p w14:paraId="0F3E0000" w14:textId="6551FC32" w:rsidR="00461513" w:rsidRPr="0007020F" w:rsidRDefault="00633780" w:rsidP="006965D8">
      <w:pPr>
        <w:pStyle w:val="Prrafodelista"/>
        <w:numPr>
          <w:ilvl w:val="1"/>
          <w:numId w:val="4"/>
        </w:numPr>
        <w:tabs>
          <w:tab w:val="left" w:pos="284"/>
        </w:tabs>
        <w:spacing w:before="120" w:line="276" w:lineRule="auto"/>
        <w:ind w:left="142" w:firstLine="0"/>
        <w:jc w:val="both"/>
        <w:rPr>
          <w:rFonts w:ascii="Century Gothic" w:hAnsi="Century Gothic" w:cstheme="minorHAnsi"/>
          <w:color w:val="FF0000"/>
        </w:rPr>
      </w:pPr>
      <w:r w:rsidRPr="00364274">
        <w:rPr>
          <w:rFonts w:ascii="Century Gothic" w:hAnsi="Century Gothic" w:cstheme="minorHAnsi"/>
        </w:rPr>
        <w:t xml:space="preserve">El tipo de gravamen, de acuerdo con los criterios y límites establecidos </w:t>
      </w:r>
      <w:r w:rsidRPr="0007020F">
        <w:rPr>
          <w:rFonts w:ascii="Century Gothic" w:hAnsi="Century Gothic" w:cstheme="minorHAnsi"/>
        </w:rPr>
        <w:t xml:space="preserve">en el artículo 188.b) del TRLPEMM, será </w:t>
      </w:r>
      <w:r w:rsidR="00474E09" w:rsidRPr="0007020F">
        <w:rPr>
          <w:rFonts w:ascii="Century Gothic" w:hAnsi="Century Gothic" w:cstheme="minorHAnsi"/>
        </w:rPr>
        <w:t xml:space="preserve">de: </w:t>
      </w:r>
      <w:r w:rsidR="00474E09">
        <w:rPr>
          <w:rFonts w:ascii="Century Gothic" w:hAnsi="Century Gothic" w:cstheme="minorHAnsi"/>
          <w:color w:val="FF0000"/>
        </w:rPr>
        <w:t xml:space="preserve">XX </w:t>
      </w:r>
      <w:r w:rsidR="00474E09">
        <w:rPr>
          <w:rFonts w:ascii="Century Gothic" w:hAnsi="Century Gothic" w:cstheme="minorHAnsi"/>
        </w:rPr>
        <w:t>€</w:t>
      </w:r>
      <w:r w:rsidR="00474E09" w:rsidRPr="0007020F">
        <w:rPr>
          <w:rFonts w:ascii="Century Gothic" w:hAnsi="Century Gothic" w:cstheme="minorHAnsi"/>
        </w:rPr>
        <w:t xml:space="preserve"> por </w:t>
      </w:r>
      <w:r w:rsidR="00474E09" w:rsidRPr="003E366C">
        <w:rPr>
          <w:rFonts w:ascii="Century Gothic" w:hAnsi="Century Gothic" w:cstheme="minorHAnsi"/>
        </w:rPr>
        <w:t xml:space="preserve">unidad de </w:t>
      </w:r>
      <w:r w:rsidR="00AA2A14" w:rsidRPr="003E366C">
        <w:rPr>
          <w:rFonts w:ascii="Century Gothic" w:hAnsi="Century Gothic" w:cstheme="minorHAnsi"/>
        </w:rPr>
        <w:t>energía (MWh)</w:t>
      </w:r>
      <w:r w:rsidR="00AA2A14">
        <w:rPr>
          <w:rFonts w:ascii="Century Gothic" w:hAnsi="Century Gothic" w:cstheme="minorHAnsi"/>
        </w:rPr>
        <w:t>/</w:t>
      </w:r>
      <w:r w:rsidR="00AA2A14" w:rsidRPr="003E366C">
        <w:rPr>
          <w:rFonts w:ascii="Century Gothic" w:hAnsi="Century Gothic" w:cstheme="minorHAnsi"/>
        </w:rPr>
        <w:t>tonelada</w:t>
      </w:r>
      <w:r w:rsidR="00782E73" w:rsidRPr="0007020F">
        <w:rPr>
          <w:rFonts w:ascii="Century Gothic" w:hAnsi="Century Gothic" w:cstheme="minorHAnsi"/>
        </w:rPr>
        <w:t xml:space="preserve"> suministrad</w:t>
      </w:r>
      <w:r w:rsidR="00AA2A14">
        <w:rPr>
          <w:rFonts w:ascii="Century Gothic" w:hAnsi="Century Gothic" w:cstheme="minorHAnsi"/>
        </w:rPr>
        <w:t>a</w:t>
      </w:r>
      <w:r w:rsidR="00532A71" w:rsidRPr="0007020F">
        <w:rPr>
          <w:rFonts w:ascii="Century Gothic" w:hAnsi="Century Gothic" w:cstheme="minorHAnsi"/>
        </w:rPr>
        <w:t xml:space="preserve"> </w:t>
      </w:r>
      <w:r w:rsidR="00532A71" w:rsidRPr="0007020F">
        <w:rPr>
          <w:rFonts w:ascii="Century Gothic" w:hAnsi="Century Gothic" w:cstheme="minorHAnsi"/>
          <w:color w:val="FF0000"/>
        </w:rPr>
        <w:t>(a particularizar por la Autoridad Portuaria)</w:t>
      </w:r>
      <w:r w:rsidR="00BD2D81">
        <w:rPr>
          <w:rFonts w:ascii="Century Gothic" w:hAnsi="Century Gothic" w:cstheme="minorHAnsi"/>
          <w:color w:val="FF0000"/>
        </w:rPr>
        <w:t>.</w:t>
      </w:r>
    </w:p>
    <w:p w14:paraId="71152DA8" w14:textId="32EC872F" w:rsidR="00633780" w:rsidRPr="0007020F" w:rsidRDefault="00633780" w:rsidP="006965D8">
      <w:pPr>
        <w:pStyle w:val="Prrafodelista"/>
        <w:numPr>
          <w:ilvl w:val="1"/>
          <w:numId w:val="4"/>
        </w:numPr>
        <w:tabs>
          <w:tab w:val="left" w:pos="284"/>
        </w:tabs>
        <w:spacing w:before="120" w:line="276" w:lineRule="auto"/>
        <w:ind w:left="142" w:firstLine="0"/>
        <w:jc w:val="both"/>
        <w:rPr>
          <w:rFonts w:ascii="Century Gothic" w:hAnsi="Century Gothic" w:cstheme="minorHAnsi"/>
        </w:rPr>
      </w:pPr>
      <w:r w:rsidRPr="0007020F">
        <w:rPr>
          <w:rFonts w:ascii="Century Gothic" w:hAnsi="Century Gothic" w:cstheme="minorHAnsi"/>
        </w:rPr>
        <w:t>El tipo de gravamen se actualizará conforme a lo establecido en el artículo 190 del TRLPEMM.</w:t>
      </w:r>
    </w:p>
    <w:p w14:paraId="1FF48F22" w14:textId="421B1A58" w:rsidR="00633780" w:rsidRPr="00BC750D" w:rsidRDefault="00633780" w:rsidP="006965D8">
      <w:pPr>
        <w:pStyle w:val="Prrafodelista"/>
        <w:numPr>
          <w:ilvl w:val="0"/>
          <w:numId w:val="4"/>
        </w:numPr>
        <w:tabs>
          <w:tab w:val="left" w:pos="284"/>
        </w:tabs>
        <w:spacing w:before="120" w:after="120" w:line="276" w:lineRule="auto"/>
        <w:ind w:left="142" w:firstLine="0"/>
        <w:jc w:val="both"/>
        <w:rPr>
          <w:rFonts w:ascii="Century Gothic" w:hAnsi="Century Gothic" w:cstheme="minorHAnsi"/>
        </w:rPr>
      </w:pPr>
      <w:r w:rsidRPr="00BC750D">
        <w:rPr>
          <w:rFonts w:ascii="Century Gothic" w:hAnsi="Century Gothic" w:cstheme="minorHAnsi"/>
        </w:rPr>
        <w:lastRenderedPageBreak/>
        <w:t xml:space="preserve">El abono de las tasas se realizará </w:t>
      </w:r>
      <w:r w:rsidR="00450A5D" w:rsidRPr="00BC750D">
        <w:rPr>
          <w:rFonts w:ascii="Century Gothic" w:hAnsi="Century Gothic" w:cstheme="minorHAnsi"/>
        </w:rPr>
        <w:t>con periodicidad</w:t>
      </w:r>
      <w:r w:rsidR="00BC750D" w:rsidRPr="00BC750D">
        <w:rPr>
          <w:rFonts w:ascii="Century Gothic" w:hAnsi="Century Gothic" w:cstheme="minorHAnsi"/>
        </w:rPr>
        <w:t xml:space="preserve"> trimestral</w:t>
      </w:r>
      <w:r w:rsidR="00450A5D" w:rsidRPr="00BC750D">
        <w:rPr>
          <w:rFonts w:ascii="Century Gothic" w:hAnsi="Century Gothic" w:cstheme="minorHAnsi"/>
        </w:rPr>
        <w:t xml:space="preserve"> </w:t>
      </w:r>
      <w:r w:rsidR="00BC750D" w:rsidRPr="00BC750D">
        <w:rPr>
          <w:rFonts w:ascii="Century Gothic" w:hAnsi="Century Gothic" w:cstheme="minorHAnsi"/>
          <w:color w:val="FF0000"/>
        </w:rPr>
        <w:t>(a particularizar por la Autoridad Portuaria si se</w:t>
      </w:r>
      <w:r w:rsidR="00BC750D">
        <w:rPr>
          <w:rFonts w:ascii="Century Gothic" w:hAnsi="Century Gothic" w:cstheme="minorHAnsi"/>
          <w:color w:val="FF0000"/>
        </w:rPr>
        <w:t xml:space="preserve"> estima</w:t>
      </w:r>
      <w:r w:rsidR="00BC750D" w:rsidRPr="00BC750D">
        <w:rPr>
          <w:rFonts w:ascii="Century Gothic" w:hAnsi="Century Gothic" w:cstheme="minorHAnsi"/>
          <w:color w:val="FF0000"/>
        </w:rPr>
        <w:t xml:space="preserve"> otro plazo).</w:t>
      </w:r>
    </w:p>
    <w:p w14:paraId="5DB2EFB3" w14:textId="3085A8A6" w:rsidR="00633780" w:rsidRPr="00F062F1" w:rsidRDefault="009842BC" w:rsidP="006965D8">
      <w:pPr>
        <w:pStyle w:val="Prrafodelista"/>
        <w:numPr>
          <w:ilvl w:val="0"/>
          <w:numId w:val="4"/>
        </w:numPr>
        <w:spacing w:before="120" w:line="276" w:lineRule="auto"/>
        <w:ind w:left="142" w:firstLine="0"/>
        <w:jc w:val="both"/>
        <w:rPr>
          <w:rFonts w:ascii="Century Gothic" w:hAnsi="Century Gothic" w:cstheme="minorHAnsi"/>
        </w:rPr>
      </w:pPr>
      <w:r w:rsidRPr="00F062F1">
        <w:rPr>
          <w:rFonts w:ascii="Century Gothic" w:hAnsi="Century Gothic" w:cstheme="minorHAnsi"/>
        </w:rPr>
        <w:t xml:space="preserve">El </w:t>
      </w:r>
      <w:r w:rsidR="00633780" w:rsidRPr="00F062F1">
        <w:rPr>
          <w:rFonts w:ascii="Century Gothic" w:hAnsi="Century Gothic" w:cstheme="minorHAnsi"/>
        </w:rPr>
        <w:t>importe de la cuota íntegra anual devengada por la Autoridad Portuaria por este concepto tendrá los límites</w:t>
      </w:r>
      <w:r w:rsidRPr="00F062F1">
        <w:rPr>
          <w:rFonts w:ascii="Century Gothic" w:hAnsi="Century Gothic" w:cstheme="minorHAnsi"/>
        </w:rPr>
        <w:t xml:space="preserve"> que se establecen en el artículo 188.b del TRLPEMM.</w:t>
      </w:r>
      <w:r w:rsidRPr="00F062F1" w:rsidDel="009842BC">
        <w:rPr>
          <w:rFonts w:ascii="Century Gothic" w:hAnsi="Century Gothic" w:cstheme="minorHAnsi"/>
        </w:rPr>
        <w:t xml:space="preserve"> </w:t>
      </w:r>
      <w:r w:rsidRPr="00F062F1" w:rsidDel="009842BC">
        <w:rPr>
          <w:rFonts w:ascii="Century Gothic" w:hAnsi="Century Gothic" w:cs="Arial"/>
        </w:rPr>
        <w:t xml:space="preserve"> </w:t>
      </w:r>
    </w:p>
    <w:p w14:paraId="390C6947" w14:textId="6C586D9D" w:rsidR="003379D3" w:rsidRPr="00E1170C" w:rsidRDefault="003379D3" w:rsidP="005F0622">
      <w:pPr>
        <w:pStyle w:val="Prrafodelista"/>
        <w:numPr>
          <w:ilvl w:val="0"/>
          <w:numId w:val="1"/>
        </w:numPr>
        <w:spacing w:line="276" w:lineRule="auto"/>
        <w:ind w:left="142" w:firstLine="0"/>
        <w:jc w:val="both"/>
        <w:rPr>
          <w:rFonts w:ascii="Century Gothic" w:hAnsi="Century Gothic" w:cstheme="minorHAnsi"/>
        </w:rPr>
      </w:pPr>
      <w:r w:rsidRPr="00E1170C">
        <w:rPr>
          <w:rFonts w:ascii="Century Gothic" w:hAnsi="Century Gothic" w:cstheme="minorHAnsi"/>
          <w:u w:val="single"/>
        </w:rPr>
        <w:t>Tasa del buque</w:t>
      </w:r>
      <w:r>
        <w:rPr>
          <w:rFonts w:ascii="Century Gothic" w:hAnsi="Century Gothic" w:cstheme="minorHAnsi"/>
        </w:rPr>
        <w:t xml:space="preserve">: </w:t>
      </w:r>
      <w:r w:rsidRPr="00E1170C">
        <w:rPr>
          <w:rFonts w:ascii="Century Gothic" w:hAnsi="Century Gothic" w:cstheme="minorHAnsi"/>
        </w:rPr>
        <w:t xml:space="preserve">Esta tasa se liquidará a los titulares de </w:t>
      </w:r>
      <w:r w:rsidR="00736DE7">
        <w:rPr>
          <w:rFonts w:ascii="Century Gothic" w:hAnsi="Century Gothic" w:cstheme="minorHAnsi"/>
        </w:rPr>
        <w:t>autorizaciones</w:t>
      </w:r>
      <w:r w:rsidRPr="00E1170C">
        <w:rPr>
          <w:rFonts w:ascii="Century Gothic" w:hAnsi="Century Gothic" w:cstheme="minorHAnsi"/>
        </w:rPr>
        <w:t xml:space="preserve"> para suministro </w:t>
      </w:r>
      <w:r w:rsidR="0007020F">
        <w:rPr>
          <w:rFonts w:ascii="Century Gothic" w:hAnsi="Century Gothic" w:cstheme="minorHAnsi"/>
        </w:rPr>
        <w:t xml:space="preserve">de GNL </w:t>
      </w:r>
      <w:r w:rsidRPr="00E1170C">
        <w:rPr>
          <w:rFonts w:ascii="Century Gothic" w:hAnsi="Century Gothic" w:cstheme="minorHAnsi"/>
        </w:rPr>
        <w:t xml:space="preserve">mediante buque (STS) conforme a lo establecido en los artículos 194 a 204 del TRLPEMM. </w:t>
      </w:r>
    </w:p>
    <w:p w14:paraId="7057853D" w14:textId="4F6420A4" w:rsidR="00633780" w:rsidRPr="00F062F1" w:rsidRDefault="00BB2C9D" w:rsidP="005F0622">
      <w:pPr>
        <w:pStyle w:val="Prrafodelista"/>
        <w:numPr>
          <w:ilvl w:val="0"/>
          <w:numId w:val="1"/>
        </w:numPr>
        <w:spacing w:line="276" w:lineRule="auto"/>
        <w:ind w:left="142" w:firstLine="0"/>
        <w:jc w:val="both"/>
        <w:rPr>
          <w:rFonts w:ascii="Century Gothic" w:hAnsi="Century Gothic" w:cstheme="minorHAnsi"/>
        </w:rPr>
      </w:pPr>
      <w:r w:rsidRPr="00F062F1">
        <w:rPr>
          <w:rFonts w:ascii="Century Gothic" w:hAnsi="Century Gothic"/>
          <w:u w:val="single"/>
        </w:rPr>
        <w:t>Otras tasas que puedan resultar de aplicación conforme a lo establecido en el TRLPEMM</w:t>
      </w:r>
      <w:r w:rsidRPr="00F062F1">
        <w:rPr>
          <w:rFonts w:ascii="Century Gothic" w:hAnsi="Century Gothic"/>
        </w:rPr>
        <w:t>:</w:t>
      </w:r>
      <w:r w:rsidR="00852DBF">
        <w:rPr>
          <w:rFonts w:ascii="Century Gothic" w:hAnsi="Century Gothic"/>
        </w:rPr>
        <w:t xml:space="preserve"> </w:t>
      </w:r>
      <w:r w:rsidR="000E1CB8">
        <w:rPr>
          <w:rFonts w:ascii="Century Gothic" w:hAnsi="Century Gothic" w:cstheme="minorHAnsi"/>
          <w:color w:val="FF0000"/>
        </w:rPr>
        <w:t>(a particularizar por la Autoridad Portuari</w:t>
      </w:r>
      <w:r w:rsidR="0015255D">
        <w:rPr>
          <w:rFonts w:ascii="Century Gothic" w:hAnsi="Century Gothic" w:cstheme="minorHAnsi"/>
          <w:color w:val="FF0000"/>
        </w:rPr>
        <w:t>a)</w:t>
      </w:r>
      <w:r w:rsidR="00633780" w:rsidRPr="00F062F1">
        <w:rPr>
          <w:rFonts w:ascii="Century Gothic" w:hAnsi="Century Gothic" w:cstheme="minorHAnsi"/>
        </w:rPr>
        <w:t>.</w:t>
      </w:r>
    </w:p>
    <w:p w14:paraId="213FD1E1" w14:textId="08D721F5" w:rsidR="00F1031D" w:rsidRPr="00F062F1" w:rsidRDefault="00F1031D" w:rsidP="001C6CB3">
      <w:pPr>
        <w:rPr>
          <w:lang w:eastAsia="es-ES"/>
        </w:rPr>
      </w:pPr>
    </w:p>
    <w:p w14:paraId="70B69E3F" w14:textId="7DBF96DA" w:rsidR="006A6F27" w:rsidRPr="00DB2307" w:rsidRDefault="00E96ED3" w:rsidP="00494F20">
      <w:pPr>
        <w:pStyle w:val="Ttulo2"/>
        <w:spacing w:line="276" w:lineRule="auto"/>
        <w:ind w:left="142"/>
        <w:rPr>
          <w:rFonts w:ascii="Century Gothic" w:eastAsia="Times New Roman" w:hAnsi="Century Gothic" w:cstheme="minorHAnsi"/>
          <w:b w:val="0"/>
          <w:bCs/>
          <w:sz w:val="22"/>
          <w:szCs w:val="22"/>
          <w:lang w:eastAsia="es-ES"/>
        </w:rPr>
      </w:pPr>
      <w:bookmarkStart w:id="38" w:name="_Toc230677713"/>
      <w:r>
        <w:rPr>
          <w:rFonts w:ascii="Century Gothic" w:hAnsi="Century Gothic" w:cstheme="minorHAnsi"/>
        </w:rPr>
        <w:t>Condición</w:t>
      </w:r>
      <w:r w:rsidR="006A6F27" w:rsidRPr="00F062F1">
        <w:rPr>
          <w:rFonts w:ascii="Century Gothic" w:hAnsi="Century Gothic" w:cstheme="minorHAnsi"/>
        </w:rPr>
        <w:t xml:space="preserve"> </w:t>
      </w:r>
      <w:r w:rsidR="00EC0D15">
        <w:rPr>
          <w:rFonts w:ascii="Century Gothic" w:hAnsi="Century Gothic" w:cstheme="minorHAnsi"/>
        </w:rPr>
        <w:t>10</w:t>
      </w:r>
      <w:r w:rsidR="00523CCF" w:rsidRPr="00F062F1">
        <w:rPr>
          <w:rFonts w:ascii="Century Gothic" w:hAnsi="Century Gothic" w:cstheme="minorHAnsi"/>
        </w:rPr>
        <w:t>ª</w:t>
      </w:r>
      <w:r w:rsidR="006A6F27" w:rsidRPr="00F062F1">
        <w:rPr>
          <w:rFonts w:ascii="Century Gothic" w:hAnsi="Century Gothic" w:cstheme="minorHAnsi"/>
        </w:rPr>
        <w:t>: Reclamaciones</w:t>
      </w:r>
      <w:r w:rsidR="00B4794B" w:rsidRPr="00F062F1">
        <w:rPr>
          <w:rFonts w:ascii="Century Gothic" w:hAnsi="Century Gothic" w:cstheme="minorHAnsi"/>
        </w:rPr>
        <w:t xml:space="preserve"> </w:t>
      </w:r>
      <w:r w:rsidR="0000005F" w:rsidRPr="00F062F1">
        <w:rPr>
          <w:rFonts w:ascii="Century Gothic" w:hAnsi="Century Gothic" w:cstheme="minorHAnsi"/>
        </w:rPr>
        <w:t>y recursos</w:t>
      </w:r>
      <w:bookmarkEnd w:id="38"/>
    </w:p>
    <w:p w14:paraId="28E1D332" w14:textId="77777777" w:rsidR="006A6F27" w:rsidRPr="00F062F1" w:rsidRDefault="006A6F27" w:rsidP="006965D8">
      <w:pPr>
        <w:pStyle w:val="Prrafodelista"/>
        <w:numPr>
          <w:ilvl w:val="0"/>
          <w:numId w:val="3"/>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Cualquier interesado podrá presentar las reclamaciones </w:t>
      </w:r>
      <w:r w:rsidR="001946F0" w:rsidRPr="00F062F1">
        <w:rPr>
          <w:rFonts w:ascii="Century Gothic" w:eastAsia="Times New Roman" w:hAnsi="Century Gothic" w:cstheme="minorHAnsi"/>
          <w:bCs/>
          <w:lang w:eastAsia="es-ES"/>
        </w:rPr>
        <w:t>que considere conforme</w:t>
      </w:r>
      <w:r w:rsidRPr="00F062F1">
        <w:rPr>
          <w:rFonts w:ascii="Century Gothic" w:eastAsia="Times New Roman" w:hAnsi="Century Gothic" w:cstheme="minorHAnsi"/>
          <w:bCs/>
          <w:lang w:eastAsia="es-ES"/>
        </w:rPr>
        <w:t xml:space="preserve"> al procedimiento de tramitación de reclamaciones que se </w:t>
      </w:r>
      <w:r w:rsidR="001946F0" w:rsidRPr="00F062F1">
        <w:rPr>
          <w:rFonts w:ascii="Century Gothic" w:eastAsia="Times New Roman" w:hAnsi="Century Gothic" w:cstheme="minorHAnsi"/>
          <w:bCs/>
          <w:lang w:eastAsia="es-ES"/>
        </w:rPr>
        <w:t>determine</w:t>
      </w:r>
      <w:r w:rsidRPr="00F062F1">
        <w:rPr>
          <w:rFonts w:ascii="Century Gothic" w:eastAsia="Times New Roman" w:hAnsi="Century Gothic" w:cstheme="minorHAnsi"/>
          <w:bCs/>
          <w:lang w:eastAsia="es-ES"/>
        </w:rPr>
        <w:t>.</w:t>
      </w:r>
    </w:p>
    <w:p w14:paraId="4B0E4553" w14:textId="5F4B51A5" w:rsidR="00F24EC4" w:rsidRDefault="00244C7A" w:rsidP="006965D8">
      <w:pPr>
        <w:pStyle w:val="Prrafodelista"/>
        <w:numPr>
          <w:ilvl w:val="0"/>
          <w:numId w:val="3"/>
        </w:numPr>
        <w:tabs>
          <w:tab w:val="left" w:pos="0"/>
        </w:tabs>
        <w:spacing w:after="120" w:line="276" w:lineRule="auto"/>
        <w:ind w:left="142" w:firstLine="0"/>
        <w:contextualSpacing w:val="0"/>
        <w:jc w:val="both"/>
        <w:rPr>
          <w:rFonts w:ascii="Century Gothic" w:eastAsia="Times New Roman" w:hAnsi="Century Gothic" w:cstheme="minorHAnsi"/>
          <w:bCs/>
          <w:lang w:eastAsia="es-ES"/>
        </w:rPr>
      </w:pPr>
      <w:r w:rsidRPr="00DB2307">
        <w:rPr>
          <w:rFonts w:ascii="Century Gothic" w:eastAsia="Times New Roman" w:hAnsi="Century Gothic" w:cstheme="minorHAnsi"/>
          <w:bCs/>
          <w:lang w:eastAsia="es-ES"/>
        </w:rPr>
        <w:t>Conforme a lo establecido en el artículo 16.7 del</w:t>
      </w:r>
      <w:r w:rsidR="00325B36">
        <w:rPr>
          <w:rFonts w:ascii="Century Gothic" w:eastAsia="Times New Roman" w:hAnsi="Century Gothic" w:cstheme="minorHAnsi"/>
          <w:bCs/>
          <w:lang w:eastAsia="es-ES"/>
        </w:rPr>
        <w:t xml:space="preserve"> </w:t>
      </w:r>
      <w:r w:rsidRPr="00DB2307">
        <w:rPr>
          <w:rFonts w:ascii="Century Gothic" w:eastAsia="Times New Roman" w:hAnsi="Century Gothic" w:cstheme="minorHAnsi"/>
          <w:bCs/>
          <w:lang w:eastAsia="es-ES"/>
        </w:rPr>
        <w:t>Reglamento</w:t>
      </w:r>
      <w:r w:rsidR="00CF414F" w:rsidRPr="00DB2307">
        <w:rPr>
          <w:rFonts w:ascii="Century Gothic" w:eastAsia="Times New Roman" w:hAnsi="Century Gothic" w:cstheme="minorHAnsi"/>
          <w:bCs/>
          <w:lang w:eastAsia="es-ES"/>
        </w:rPr>
        <w:t xml:space="preserve"> UE</w:t>
      </w:r>
      <w:r w:rsidRPr="00DB2307">
        <w:rPr>
          <w:rFonts w:ascii="Century Gothic" w:eastAsia="Times New Roman" w:hAnsi="Century Gothic" w:cstheme="minorHAnsi"/>
          <w:bCs/>
          <w:lang w:eastAsia="es-ES"/>
        </w:rPr>
        <w:t xml:space="preserve"> 2017/352, el procedimiento para la tramitación de las reclamaciones y recursos por supuestos incumplimientos de dicho Reglamento será el procedimiento contencioso-administrativo regulado por la Ley 29/1998 de 13 de julio, reguladora de la Jurisdicción Contencioso Administrativa. Las autoridades competentes para resolver dichas reclamaciones son los órganos jurisdiccionales del orden contencioso administrativo.</w:t>
      </w:r>
    </w:p>
    <w:p w14:paraId="70B1FAC5" w14:textId="77777777" w:rsidR="003457E7" w:rsidRPr="003457E7" w:rsidRDefault="003457E7" w:rsidP="003457E7">
      <w:pPr>
        <w:rPr>
          <w:lang w:eastAsia="es-ES"/>
        </w:rPr>
      </w:pPr>
    </w:p>
    <w:p w14:paraId="5183DB7E" w14:textId="77777777" w:rsidR="003457E7" w:rsidRDefault="003457E7" w:rsidP="003457E7">
      <w:pPr>
        <w:tabs>
          <w:tab w:val="left" w:pos="1613"/>
        </w:tabs>
        <w:rPr>
          <w:lang w:eastAsia="es-ES"/>
        </w:rPr>
      </w:pPr>
    </w:p>
    <w:p w14:paraId="6B5BEA93" w14:textId="23F5ED32" w:rsidR="003457E7" w:rsidRDefault="003457E7" w:rsidP="003457E7">
      <w:pPr>
        <w:pStyle w:val="Ttulo1"/>
        <w:jc w:val="both"/>
        <w:rPr>
          <w:rFonts w:ascii="Century Gothic" w:hAnsi="Century Gothic" w:cstheme="minorHAnsi"/>
        </w:rPr>
      </w:pPr>
      <w:bookmarkStart w:id="39" w:name="_Toc230677714"/>
      <w:r w:rsidRPr="00D263BB">
        <w:rPr>
          <w:rFonts w:ascii="Century Gothic" w:hAnsi="Century Gothic" w:cstheme="minorHAnsi"/>
        </w:rPr>
        <w:lastRenderedPageBreak/>
        <w:t>ANEXO I</w:t>
      </w:r>
      <w:r>
        <w:rPr>
          <w:rFonts w:ascii="Century Gothic" w:hAnsi="Century Gothic" w:cstheme="minorHAnsi"/>
        </w:rPr>
        <w:t xml:space="preserve"> </w:t>
      </w:r>
      <w:r w:rsidRPr="00D263BB">
        <w:rPr>
          <w:rFonts w:ascii="Century Gothic" w:hAnsi="Century Gothic" w:cstheme="minorHAnsi"/>
        </w:rPr>
        <w:t>MODALIDAD STS: CONDICIONES TÉCNICAS PARA LA PRESTACIÓN DEL SERVICIO DE SUMINISTRO DE GNL</w:t>
      </w:r>
      <w:r w:rsidR="00C33A5F">
        <w:rPr>
          <w:rFonts w:ascii="Century Gothic" w:hAnsi="Century Gothic" w:cstheme="minorHAnsi"/>
        </w:rPr>
        <w:t>, BioGNL y e</w:t>
      </w:r>
      <w:r w:rsidR="005F6E86">
        <w:rPr>
          <w:rFonts w:ascii="Century Gothic" w:hAnsi="Century Gothic" w:cstheme="minorHAnsi"/>
        </w:rPr>
        <w:t>-</w:t>
      </w:r>
      <w:r w:rsidR="00C33A5F">
        <w:rPr>
          <w:rFonts w:ascii="Century Gothic" w:hAnsi="Century Gothic" w:cstheme="minorHAnsi"/>
        </w:rPr>
        <w:t>GNL</w:t>
      </w:r>
      <w:r w:rsidRPr="00D263BB">
        <w:rPr>
          <w:rFonts w:ascii="Century Gothic" w:hAnsi="Century Gothic" w:cstheme="minorHAnsi"/>
        </w:rPr>
        <w:t xml:space="preserve"> A BUQUES COMO COMBUSTIBLE</w:t>
      </w:r>
      <w:bookmarkEnd w:id="39"/>
    </w:p>
    <w:p w14:paraId="24187904" w14:textId="077C3B5C" w:rsidR="0060563A" w:rsidRDefault="0060563A" w:rsidP="0060563A">
      <w:pPr>
        <w:ind w:left="-567"/>
      </w:pPr>
    </w:p>
    <w:p w14:paraId="1B798F5D" w14:textId="334C4629" w:rsidR="0060563A" w:rsidRPr="00534C3C" w:rsidRDefault="003902CC" w:rsidP="003902CC">
      <w:pPr>
        <w:ind w:left="-851" w:right="-427"/>
      </w:pPr>
      <w:r w:rsidRPr="003902CC">
        <w:rPr>
          <w:noProof/>
        </w:rPr>
        <w:drawing>
          <wp:inline distT="0" distB="0" distL="0" distR="0" wp14:anchorId="102C57C2" wp14:editId="5FE24F8D">
            <wp:extent cx="7033477" cy="2870421"/>
            <wp:effectExtent l="0" t="0" r="0" b="6350"/>
            <wp:docPr id="212840318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03180" name="Imagen 1" descr="Diagrama&#10;&#10;El contenido generado por IA puede ser incorrecto."/>
                    <pic:cNvPicPr/>
                  </pic:nvPicPr>
                  <pic:blipFill>
                    <a:blip r:embed="rId14"/>
                    <a:stretch>
                      <a:fillRect/>
                    </a:stretch>
                  </pic:blipFill>
                  <pic:spPr>
                    <a:xfrm>
                      <a:off x="0" y="0"/>
                      <a:ext cx="7063481" cy="2882666"/>
                    </a:xfrm>
                    <a:prstGeom prst="rect">
                      <a:avLst/>
                    </a:prstGeom>
                  </pic:spPr>
                </pic:pic>
              </a:graphicData>
            </a:graphic>
          </wp:inline>
        </w:drawing>
      </w:r>
    </w:p>
    <w:p w14:paraId="40430AE1" w14:textId="25F9BDA9" w:rsidR="003457E7" w:rsidRPr="00D263BB" w:rsidRDefault="003457E7" w:rsidP="00534C3C">
      <w:pPr>
        <w:ind w:left="-709" w:right="-1136" w:hanging="142"/>
      </w:pPr>
    </w:p>
    <w:p w14:paraId="67052EC8" w14:textId="4140B8F6" w:rsidR="003457E7" w:rsidRPr="00D263BB" w:rsidRDefault="003457E7" w:rsidP="006965D8">
      <w:pPr>
        <w:pStyle w:val="Prrafodelista"/>
        <w:numPr>
          <w:ilvl w:val="0"/>
          <w:numId w:val="20"/>
        </w:numPr>
        <w:spacing w:line="278" w:lineRule="auto"/>
        <w:jc w:val="both"/>
        <w:rPr>
          <w:rFonts w:ascii="Century Gothic" w:hAnsi="Century Gothic"/>
          <w:b/>
          <w:bCs/>
        </w:rPr>
      </w:pPr>
      <w:r w:rsidRPr="00D263BB">
        <w:rPr>
          <w:rFonts w:ascii="Century Gothic" w:hAnsi="Century Gothic"/>
          <w:b/>
          <w:bCs/>
        </w:rPr>
        <w:t>Procedimiento para</w:t>
      </w:r>
      <w:r w:rsidR="00AE06FC">
        <w:rPr>
          <w:rFonts w:ascii="Century Gothic" w:hAnsi="Century Gothic"/>
          <w:b/>
          <w:bCs/>
        </w:rPr>
        <w:t xml:space="preserve"> la obtención de</w:t>
      </w:r>
      <w:r w:rsidRPr="00D263BB">
        <w:rPr>
          <w:rFonts w:ascii="Century Gothic" w:hAnsi="Century Gothic"/>
          <w:b/>
          <w:bCs/>
        </w:rPr>
        <w:t xml:space="preserve"> </w:t>
      </w:r>
      <w:r>
        <w:rPr>
          <w:rFonts w:ascii="Century Gothic" w:hAnsi="Century Gothic"/>
          <w:b/>
          <w:bCs/>
        </w:rPr>
        <w:t>una</w:t>
      </w:r>
      <w:r w:rsidRPr="00D263BB">
        <w:rPr>
          <w:rFonts w:ascii="Century Gothic" w:hAnsi="Century Gothic"/>
          <w:b/>
          <w:bCs/>
        </w:rPr>
        <w:t xml:space="preserve"> validación técnica de suministro </w:t>
      </w:r>
      <w:r w:rsidR="00BD5DA1">
        <w:rPr>
          <w:rFonts w:ascii="Century Gothic" w:hAnsi="Century Gothic"/>
          <w:b/>
          <w:bCs/>
        </w:rPr>
        <w:t>de GNL STS</w:t>
      </w:r>
    </w:p>
    <w:p w14:paraId="4CE08EB7" w14:textId="77777777" w:rsidR="003457E7" w:rsidRPr="00D263BB" w:rsidRDefault="003457E7" w:rsidP="003457E7">
      <w:pPr>
        <w:pStyle w:val="Prrafodelista"/>
        <w:jc w:val="both"/>
        <w:rPr>
          <w:rFonts w:ascii="Century Gothic" w:hAnsi="Century Gothic"/>
          <w:b/>
          <w:bCs/>
        </w:rPr>
      </w:pPr>
    </w:p>
    <w:p w14:paraId="5DCFD713" w14:textId="7DF6FDDC" w:rsidR="003457E7" w:rsidRPr="00D263BB" w:rsidRDefault="00AE06FC" w:rsidP="006965D8">
      <w:pPr>
        <w:pStyle w:val="Prrafodelista"/>
        <w:numPr>
          <w:ilvl w:val="0"/>
          <w:numId w:val="18"/>
        </w:numPr>
        <w:spacing w:line="278" w:lineRule="auto"/>
        <w:jc w:val="both"/>
        <w:rPr>
          <w:rFonts w:ascii="Century Gothic" w:hAnsi="Century Gothic"/>
          <w:b/>
          <w:bCs/>
        </w:rPr>
      </w:pPr>
      <w:r>
        <w:rPr>
          <w:rFonts w:ascii="Century Gothic" w:hAnsi="Century Gothic"/>
          <w:b/>
          <w:bCs/>
        </w:rPr>
        <w:t>Exigencia de otorgamiento previo de una autorización de servicio comercial</w:t>
      </w:r>
      <w:r w:rsidR="003457E7" w:rsidRPr="00D263BB">
        <w:rPr>
          <w:rFonts w:ascii="Century Gothic" w:hAnsi="Century Gothic"/>
          <w:b/>
          <w:bCs/>
        </w:rPr>
        <w:t>:</w:t>
      </w:r>
    </w:p>
    <w:p w14:paraId="097AD084" w14:textId="77777777" w:rsidR="003457E7" w:rsidRPr="00547BCB" w:rsidRDefault="003457E7" w:rsidP="003457E7">
      <w:pPr>
        <w:jc w:val="both"/>
        <w:rPr>
          <w:rFonts w:ascii="Century Gothic" w:hAnsi="Century Gothic"/>
        </w:rPr>
      </w:pPr>
      <w:r w:rsidRPr="00547BCB">
        <w:rPr>
          <w:rFonts w:ascii="Century Gothic" w:hAnsi="Century Gothic"/>
        </w:rPr>
        <w:t xml:space="preserve">El desarrollo de actividades industriales, comerciales o de servicios en el dominio público portuario está sometido al régimen jurídico previsto en el </w:t>
      </w:r>
      <w:r>
        <w:rPr>
          <w:rFonts w:ascii="Century Gothic" w:hAnsi="Century Gothic"/>
        </w:rPr>
        <w:t>TRLPEMM</w:t>
      </w:r>
      <w:r w:rsidRPr="00547BCB">
        <w:rPr>
          <w:rFonts w:ascii="Century Gothic" w:hAnsi="Century Gothic"/>
        </w:rPr>
        <w:t xml:space="preserve">. Por otra parte, la prestación de servicios comerciales </w:t>
      </w:r>
      <w:r>
        <w:rPr>
          <w:rFonts w:ascii="Century Gothic" w:hAnsi="Century Gothic"/>
        </w:rPr>
        <w:t xml:space="preserve">requiere </w:t>
      </w:r>
      <w:r w:rsidRPr="00547BCB">
        <w:rPr>
          <w:rFonts w:ascii="Century Gothic" w:hAnsi="Century Gothic"/>
        </w:rPr>
        <w:t>la obtención</w:t>
      </w:r>
      <w:r>
        <w:rPr>
          <w:rFonts w:ascii="Century Gothic" w:hAnsi="Century Gothic"/>
        </w:rPr>
        <w:t xml:space="preserve"> previa de una autorización</w:t>
      </w:r>
      <w:r w:rsidRPr="00547BCB">
        <w:rPr>
          <w:rFonts w:ascii="Century Gothic" w:hAnsi="Century Gothic"/>
        </w:rPr>
        <w:t xml:space="preserve"> (título habilitante) </w:t>
      </w:r>
      <w:r>
        <w:rPr>
          <w:rFonts w:ascii="Century Gothic" w:hAnsi="Century Gothic"/>
        </w:rPr>
        <w:t xml:space="preserve">a otorgar por </w:t>
      </w:r>
      <w:r w:rsidRPr="00547BCB">
        <w:rPr>
          <w:rFonts w:ascii="Century Gothic" w:hAnsi="Century Gothic"/>
        </w:rPr>
        <w:t xml:space="preserve">la Autoridad Portuaria. </w:t>
      </w:r>
    </w:p>
    <w:p w14:paraId="479E1EE9" w14:textId="77777777" w:rsidR="003457E7" w:rsidRPr="00547BCB" w:rsidRDefault="003457E7" w:rsidP="003457E7">
      <w:pPr>
        <w:jc w:val="both"/>
        <w:rPr>
          <w:rFonts w:ascii="Century Gothic" w:hAnsi="Century Gothic"/>
        </w:rPr>
      </w:pPr>
      <w:r w:rsidRPr="00547BCB">
        <w:rPr>
          <w:rFonts w:ascii="Century Gothic" w:hAnsi="Century Gothic"/>
        </w:rPr>
        <w:t>Todas las partes mencionadas en este Anexo I deberán acreditar que cumplen las condiciones y habilitaciones exigidas en este Pliego para la prestación del suministro correspondiente.</w:t>
      </w:r>
    </w:p>
    <w:p w14:paraId="1814AB03" w14:textId="77777777" w:rsidR="003457E7" w:rsidRPr="00421C89" w:rsidRDefault="003457E7" w:rsidP="003457E7">
      <w:pPr>
        <w:jc w:val="both"/>
        <w:rPr>
          <w:rFonts w:ascii="Century Gothic" w:hAnsi="Century Gothic"/>
        </w:rPr>
      </w:pPr>
      <w:bookmarkStart w:id="40" w:name="_Hlk217039267"/>
      <w:r w:rsidRPr="00547BCB">
        <w:rPr>
          <w:rFonts w:ascii="Century Gothic" w:hAnsi="Century Gothic"/>
        </w:rPr>
        <w:t>El</w:t>
      </w:r>
      <w:r>
        <w:rPr>
          <w:rFonts w:ascii="Century Gothic" w:hAnsi="Century Gothic"/>
        </w:rPr>
        <w:t xml:space="preserve"> prestador</w:t>
      </w:r>
      <w:r w:rsidRPr="00547BCB">
        <w:rPr>
          <w:rFonts w:ascii="Century Gothic" w:hAnsi="Century Gothic"/>
        </w:rPr>
        <w:t xml:space="preserve"> del servicio deberá disponer de </w:t>
      </w:r>
      <w:r>
        <w:rPr>
          <w:rFonts w:ascii="Century Gothic" w:hAnsi="Century Gothic"/>
        </w:rPr>
        <w:t>una a</w:t>
      </w:r>
      <w:r w:rsidRPr="00547BCB">
        <w:rPr>
          <w:rFonts w:ascii="Century Gothic" w:hAnsi="Century Gothic"/>
        </w:rPr>
        <w:t>utorización, de carácter administrativo, para operar en el puerto</w:t>
      </w:r>
      <w:r>
        <w:rPr>
          <w:rFonts w:ascii="Century Gothic" w:hAnsi="Century Gothic"/>
        </w:rPr>
        <w:t xml:space="preserve"> </w:t>
      </w:r>
      <w:r w:rsidRPr="00421C89">
        <w:rPr>
          <w:rFonts w:ascii="Century Gothic" w:hAnsi="Century Gothic"/>
          <w:color w:val="ED0000"/>
        </w:rPr>
        <w:t>XXXX</w:t>
      </w:r>
      <w:r>
        <w:rPr>
          <w:rFonts w:ascii="Century Gothic" w:hAnsi="Century Gothic"/>
          <w:color w:val="ED0000"/>
        </w:rPr>
        <w:t xml:space="preserve">, </w:t>
      </w:r>
      <w:r w:rsidRPr="00421C89">
        <w:rPr>
          <w:rFonts w:ascii="Century Gothic" w:hAnsi="Century Gothic"/>
        </w:rPr>
        <w:t>si bien esta autorización de servicio comercial (título habilitante) no implica que se puedan realizar operaciones concretas de suministro</w:t>
      </w:r>
      <w:bookmarkEnd w:id="40"/>
      <w:r w:rsidRPr="00421C89">
        <w:rPr>
          <w:rFonts w:ascii="Century Gothic" w:hAnsi="Century Gothic"/>
        </w:rPr>
        <w:t xml:space="preserve">. </w:t>
      </w:r>
      <w:r w:rsidRPr="00393AAF">
        <w:rPr>
          <w:rFonts w:ascii="Century Gothic" w:hAnsi="Century Gothic"/>
          <w:b/>
          <w:bCs/>
        </w:rPr>
        <w:t>Para poder realizar operaciones concretas se deberán cumplir las siguientes condiciones</w:t>
      </w:r>
      <w:r w:rsidRPr="00421C89">
        <w:rPr>
          <w:rFonts w:ascii="Century Gothic" w:hAnsi="Century Gothic"/>
        </w:rPr>
        <w:t>:</w:t>
      </w:r>
    </w:p>
    <w:p w14:paraId="6BF147D0" w14:textId="2AD09964" w:rsidR="003457E7" w:rsidRPr="00547BCB" w:rsidRDefault="003457E7" w:rsidP="006965D8">
      <w:pPr>
        <w:pStyle w:val="Prrafodelista"/>
        <w:numPr>
          <w:ilvl w:val="0"/>
          <w:numId w:val="22"/>
        </w:numPr>
        <w:spacing w:line="278" w:lineRule="auto"/>
        <w:jc w:val="both"/>
        <w:rPr>
          <w:rFonts w:ascii="Century Gothic" w:hAnsi="Century Gothic"/>
        </w:rPr>
      </w:pPr>
      <w:r w:rsidRPr="00547BCB">
        <w:rPr>
          <w:rFonts w:ascii="Century Gothic" w:hAnsi="Century Gothic"/>
        </w:rPr>
        <w:t xml:space="preserve">El </w:t>
      </w:r>
      <w:r w:rsidR="009B3258">
        <w:rPr>
          <w:rFonts w:ascii="Century Gothic" w:hAnsi="Century Gothic"/>
        </w:rPr>
        <w:t>prestador</w:t>
      </w:r>
      <w:r w:rsidRPr="00547BCB">
        <w:rPr>
          <w:rFonts w:ascii="Century Gothic" w:hAnsi="Century Gothic"/>
        </w:rPr>
        <w:t xml:space="preserve"> dispone de una </w:t>
      </w:r>
      <w:r w:rsidRPr="00393AAF">
        <w:rPr>
          <w:rFonts w:ascii="Century Gothic" w:hAnsi="Century Gothic"/>
          <w:b/>
          <w:bCs/>
        </w:rPr>
        <w:t>autorización de servicio comercial</w:t>
      </w:r>
      <w:r w:rsidRPr="00547BCB">
        <w:rPr>
          <w:rFonts w:ascii="Century Gothic" w:hAnsi="Century Gothic"/>
        </w:rPr>
        <w:t xml:space="preserve"> (título habilitante)</w:t>
      </w:r>
      <w:r w:rsidR="00F37ADF">
        <w:rPr>
          <w:rFonts w:ascii="Century Gothic" w:hAnsi="Century Gothic"/>
        </w:rPr>
        <w:t xml:space="preserve"> tras la presentación de la </w:t>
      </w:r>
      <w:r w:rsidR="00F37ADF" w:rsidRPr="00393AAF">
        <w:rPr>
          <w:rFonts w:ascii="Century Gothic" w:hAnsi="Century Gothic"/>
          <w:b/>
          <w:bCs/>
        </w:rPr>
        <w:t>documentación del apartado 1 del Anexo II-STS</w:t>
      </w:r>
      <w:r w:rsidR="00F37ADF">
        <w:rPr>
          <w:rFonts w:ascii="Century Gothic" w:hAnsi="Century Gothic"/>
        </w:rPr>
        <w:t xml:space="preserve"> del presente PCP</w:t>
      </w:r>
      <w:r w:rsidRPr="00547BCB">
        <w:rPr>
          <w:rFonts w:ascii="Century Gothic" w:hAnsi="Century Gothic"/>
        </w:rPr>
        <w:t>.</w:t>
      </w:r>
    </w:p>
    <w:p w14:paraId="67CD4F4A" w14:textId="62BF65F0" w:rsidR="004135F0" w:rsidRPr="00547BCB" w:rsidRDefault="004135F0" w:rsidP="006965D8">
      <w:pPr>
        <w:pStyle w:val="Prrafodelista"/>
        <w:numPr>
          <w:ilvl w:val="0"/>
          <w:numId w:val="22"/>
        </w:numPr>
        <w:spacing w:line="278" w:lineRule="auto"/>
        <w:jc w:val="both"/>
        <w:rPr>
          <w:rFonts w:ascii="Century Gothic" w:hAnsi="Century Gothic"/>
        </w:rPr>
      </w:pPr>
      <w:r w:rsidRPr="00547BCB">
        <w:rPr>
          <w:rFonts w:ascii="Century Gothic" w:hAnsi="Century Gothic"/>
        </w:rPr>
        <w:lastRenderedPageBreak/>
        <w:t xml:space="preserve">El </w:t>
      </w:r>
      <w:r w:rsidR="00133681">
        <w:rPr>
          <w:rFonts w:ascii="Century Gothic" w:hAnsi="Century Gothic"/>
        </w:rPr>
        <w:t>prestador</w:t>
      </w:r>
      <w:r w:rsidRPr="00547BCB">
        <w:rPr>
          <w:rFonts w:ascii="Century Gothic" w:hAnsi="Century Gothic"/>
        </w:rPr>
        <w:t xml:space="preserve"> ha obtenido </w:t>
      </w:r>
      <w:r w:rsidR="00393AAF" w:rsidRPr="00393AAF">
        <w:rPr>
          <w:rFonts w:ascii="Century Gothic" w:hAnsi="Century Gothic"/>
          <w:b/>
          <w:bCs/>
        </w:rPr>
        <w:t xml:space="preserve">resolución de </w:t>
      </w:r>
      <w:r w:rsidRPr="00393AAF">
        <w:rPr>
          <w:rFonts w:ascii="Century Gothic" w:hAnsi="Century Gothic"/>
          <w:b/>
          <w:bCs/>
        </w:rPr>
        <w:t>validación técnica</w:t>
      </w:r>
      <w:r w:rsidRPr="00547BCB">
        <w:rPr>
          <w:rFonts w:ascii="Century Gothic" w:hAnsi="Century Gothic"/>
        </w:rPr>
        <w:t xml:space="preserve"> para el</w:t>
      </w:r>
      <w:r w:rsidR="00393AAF">
        <w:rPr>
          <w:rFonts w:ascii="Century Gothic" w:hAnsi="Century Gothic"/>
        </w:rPr>
        <w:t>/los</w:t>
      </w:r>
      <w:r w:rsidRPr="00547BCB">
        <w:rPr>
          <w:rFonts w:ascii="Century Gothic" w:hAnsi="Century Gothic"/>
        </w:rPr>
        <w:t xml:space="preserve"> tipo</w:t>
      </w:r>
      <w:r w:rsidR="00393AAF">
        <w:rPr>
          <w:rFonts w:ascii="Century Gothic" w:hAnsi="Century Gothic"/>
        </w:rPr>
        <w:t>/s</w:t>
      </w:r>
      <w:r w:rsidRPr="00547BCB">
        <w:rPr>
          <w:rFonts w:ascii="Century Gothic" w:hAnsi="Century Gothic"/>
        </w:rPr>
        <w:t xml:space="preserve"> de operación que desea realizar</w:t>
      </w:r>
      <w:r w:rsidR="00F37ADF">
        <w:rPr>
          <w:rFonts w:ascii="Century Gothic" w:hAnsi="Century Gothic"/>
        </w:rPr>
        <w:t xml:space="preserve"> tras la presentación de la </w:t>
      </w:r>
      <w:r w:rsidR="00F37ADF" w:rsidRPr="00393AAF">
        <w:rPr>
          <w:rFonts w:ascii="Century Gothic" w:hAnsi="Century Gothic"/>
          <w:b/>
          <w:bCs/>
        </w:rPr>
        <w:t>documentación del apartado 2 del Anexo II-STS</w:t>
      </w:r>
      <w:r w:rsidR="00F37ADF">
        <w:rPr>
          <w:rFonts w:ascii="Century Gothic" w:hAnsi="Century Gothic"/>
        </w:rPr>
        <w:t xml:space="preserve"> del presente PCP</w:t>
      </w:r>
      <w:r w:rsidRPr="00547BCB">
        <w:rPr>
          <w:rFonts w:ascii="Century Gothic" w:hAnsi="Century Gothic"/>
        </w:rPr>
        <w:t>.</w:t>
      </w:r>
    </w:p>
    <w:p w14:paraId="5F0FA171" w14:textId="3A3D65EF" w:rsidR="003457E7" w:rsidRPr="00547BCB" w:rsidRDefault="003457E7" w:rsidP="006965D8">
      <w:pPr>
        <w:pStyle w:val="Prrafodelista"/>
        <w:numPr>
          <w:ilvl w:val="0"/>
          <w:numId w:val="22"/>
        </w:numPr>
        <w:spacing w:line="278" w:lineRule="auto"/>
        <w:jc w:val="both"/>
        <w:rPr>
          <w:rFonts w:ascii="Century Gothic" w:hAnsi="Century Gothic"/>
        </w:rPr>
      </w:pPr>
      <w:r w:rsidRPr="00547BCB">
        <w:rPr>
          <w:rFonts w:ascii="Century Gothic" w:hAnsi="Century Gothic"/>
        </w:rPr>
        <w:t xml:space="preserve">La operación </w:t>
      </w:r>
      <w:r>
        <w:rPr>
          <w:rFonts w:ascii="Century Gothic" w:hAnsi="Century Gothic"/>
        </w:rPr>
        <w:t>de suministro</w:t>
      </w:r>
      <w:r w:rsidRPr="00547BCB">
        <w:rPr>
          <w:rFonts w:ascii="Century Gothic" w:hAnsi="Century Gothic"/>
        </w:rPr>
        <w:t xml:space="preserve"> se ajusta a l</w:t>
      </w:r>
      <w:r w:rsidR="00282B4B">
        <w:rPr>
          <w:rFonts w:ascii="Century Gothic" w:hAnsi="Century Gothic"/>
        </w:rPr>
        <w:t>as</w:t>
      </w:r>
      <w:r w:rsidRPr="00547BCB">
        <w:rPr>
          <w:rFonts w:ascii="Century Gothic" w:hAnsi="Century Gothic"/>
        </w:rPr>
        <w:t xml:space="preserve"> condiciones establecidas en </w:t>
      </w:r>
      <w:r>
        <w:rPr>
          <w:rFonts w:ascii="Century Gothic" w:hAnsi="Century Gothic"/>
        </w:rPr>
        <w:t>los documentos 1</w:t>
      </w:r>
      <w:r w:rsidR="00335AE9">
        <w:rPr>
          <w:rFonts w:ascii="Century Gothic" w:hAnsi="Century Gothic"/>
        </w:rPr>
        <w:t>,2 y 4.</w:t>
      </w:r>
    </w:p>
    <w:p w14:paraId="75B14583" w14:textId="52FCAC88" w:rsidR="003457E7" w:rsidRPr="00547BCB" w:rsidRDefault="003457E7" w:rsidP="006965D8">
      <w:pPr>
        <w:pStyle w:val="Prrafodelista"/>
        <w:numPr>
          <w:ilvl w:val="0"/>
          <w:numId w:val="22"/>
        </w:numPr>
        <w:spacing w:line="278" w:lineRule="auto"/>
        <w:jc w:val="both"/>
        <w:rPr>
          <w:rFonts w:ascii="Century Gothic" w:hAnsi="Century Gothic"/>
        </w:rPr>
      </w:pPr>
      <w:r w:rsidRPr="00547BCB">
        <w:rPr>
          <w:rFonts w:ascii="Century Gothic" w:hAnsi="Century Gothic"/>
        </w:rPr>
        <w:t xml:space="preserve">La operación de suministro </w:t>
      </w:r>
      <w:r w:rsidRPr="00393AAF">
        <w:rPr>
          <w:rFonts w:ascii="Century Gothic" w:hAnsi="Century Gothic"/>
          <w:b/>
          <w:bCs/>
        </w:rPr>
        <w:t>se notifica</w:t>
      </w:r>
      <w:r w:rsidRPr="00547BCB">
        <w:rPr>
          <w:rFonts w:ascii="Century Gothic" w:hAnsi="Century Gothic"/>
        </w:rPr>
        <w:t xml:space="preserve"> a la Autoridad Portuaria</w:t>
      </w:r>
      <w:r w:rsidR="00097490">
        <w:rPr>
          <w:rFonts w:ascii="Century Gothic" w:hAnsi="Century Gothic"/>
        </w:rPr>
        <w:t xml:space="preserve"> presentando la </w:t>
      </w:r>
      <w:r w:rsidR="00097490" w:rsidRPr="00752FE8">
        <w:rPr>
          <w:rFonts w:ascii="Century Gothic" w:hAnsi="Century Gothic"/>
          <w:b/>
          <w:bCs/>
        </w:rPr>
        <w:t>documentación del apartado 3 del Anexo II-STS</w:t>
      </w:r>
      <w:r w:rsidR="00F37ADF">
        <w:rPr>
          <w:rFonts w:ascii="Century Gothic" w:hAnsi="Century Gothic"/>
        </w:rPr>
        <w:t xml:space="preserve"> del presente PCP</w:t>
      </w:r>
      <w:r w:rsidRPr="00547BCB">
        <w:rPr>
          <w:rFonts w:ascii="Century Gothic" w:hAnsi="Century Gothic"/>
        </w:rPr>
        <w:t>.</w:t>
      </w:r>
    </w:p>
    <w:p w14:paraId="5A793680" w14:textId="77777777" w:rsidR="00393AAF" w:rsidRDefault="00393AAF" w:rsidP="003457E7">
      <w:pPr>
        <w:jc w:val="both"/>
        <w:rPr>
          <w:rFonts w:ascii="Century Gothic" w:hAnsi="Century Gothic"/>
          <w:b/>
          <w:bCs/>
        </w:rPr>
      </w:pPr>
      <w:r w:rsidRPr="00840B71">
        <w:rPr>
          <w:rFonts w:ascii="Century Gothic" w:hAnsi="Century Gothic"/>
          <w:b/>
          <w:bCs/>
        </w:rPr>
        <w:t>Se permitirá la presentación de una única solicitud de autorización de servicio comercial y validación técnica en el mismo expediente, que se tramitarán de forma paralela</w:t>
      </w:r>
      <w:r>
        <w:rPr>
          <w:rFonts w:ascii="Century Gothic" w:hAnsi="Century Gothic"/>
          <w:b/>
          <w:bCs/>
        </w:rPr>
        <w:t>.</w:t>
      </w:r>
    </w:p>
    <w:p w14:paraId="2CC4AE26" w14:textId="563533AD" w:rsidR="003457E7" w:rsidRPr="0099142F" w:rsidRDefault="003457E7" w:rsidP="003457E7">
      <w:pPr>
        <w:jc w:val="both"/>
        <w:rPr>
          <w:rFonts w:ascii="Century Gothic" w:hAnsi="Century Gothic"/>
          <w:b/>
          <w:bCs/>
        </w:rPr>
      </w:pPr>
      <w:r w:rsidRPr="00547BCB">
        <w:rPr>
          <w:rFonts w:ascii="Century Gothic" w:hAnsi="Century Gothic"/>
        </w:rPr>
        <w:t xml:space="preserve">Una vez cumplido todo el procedimiento anterior </w:t>
      </w:r>
      <w:r w:rsidR="00840B71" w:rsidRPr="00547BCB">
        <w:rPr>
          <w:rFonts w:ascii="Century Gothic" w:hAnsi="Century Gothic"/>
        </w:rPr>
        <w:t>de acuerdo con</w:t>
      </w:r>
      <w:r w:rsidRPr="00547BCB">
        <w:rPr>
          <w:rFonts w:ascii="Century Gothic" w:hAnsi="Century Gothic"/>
        </w:rPr>
        <w:t xml:space="preserve"> las especificaciones descritas en </w:t>
      </w:r>
      <w:r w:rsidR="00393AAF">
        <w:rPr>
          <w:rFonts w:ascii="Century Gothic" w:hAnsi="Century Gothic"/>
        </w:rPr>
        <w:t>el presente Anexo I</w:t>
      </w:r>
      <w:r w:rsidRPr="00547BCB">
        <w:rPr>
          <w:rFonts w:ascii="Century Gothic" w:hAnsi="Century Gothic"/>
        </w:rPr>
        <w:t xml:space="preserve">, el </w:t>
      </w:r>
      <w:r w:rsidR="00305F1F">
        <w:rPr>
          <w:rFonts w:ascii="Century Gothic" w:hAnsi="Century Gothic"/>
        </w:rPr>
        <w:t>prestador</w:t>
      </w:r>
      <w:r w:rsidRPr="00547BCB">
        <w:rPr>
          <w:rFonts w:ascii="Century Gothic" w:hAnsi="Century Gothic"/>
        </w:rPr>
        <w:t xml:space="preserve"> estará autorizado a efectuar la operación de suministro.</w:t>
      </w:r>
      <w:r w:rsidRPr="00AB4E24">
        <w:rPr>
          <w:rFonts w:ascii="Century Gothic" w:hAnsi="Century Gothic"/>
        </w:rPr>
        <w:t xml:space="preserve"> </w:t>
      </w:r>
    </w:p>
    <w:p w14:paraId="1059AF84" w14:textId="77777777" w:rsidR="003457E7" w:rsidRPr="00547BCB" w:rsidRDefault="003457E7" w:rsidP="006965D8">
      <w:pPr>
        <w:pStyle w:val="Prrafodelista"/>
        <w:numPr>
          <w:ilvl w:val="0"/>
          <w:numId w:val="18"/>
        </w:numPr>
        <w:spacing w:line="278" w:lineRule="auto"/>
        <w:jc w:val="both"/>
        <w:rPr>
          <w:rFonts w:ascii="Century Gothic" w:hAnsi="Century Gothic"/>
          <w:b/>
          <w:bCs/>
        </w:rPr>
      </w:pPr>
      <w:r w:rsidRPr="00547BCB">
        <w:rPr>
          <w:rFonts w:ascii="Century Gothic" w:hAnsi="Century Gothic"/>
          <w:b/>
          <w:bCs/>
        </w:rPr>
        <w:t>Procedimiento de</w:t>
      </w:r>
      <w:r>
        <w:rPr>
          <w:rFonts w:ascii="Century Gothic" w:hAnsi="Century Gothic"/>
          <w:b/>
          <w:bCs/>
        </w:rPr>
        <w:t xml:space="preserve"> v</w:t>
      </w:r>
      <w:r w:rsidRPr="00547BCB">
        <w:rPr>
          <w:rFonts w:ascii="Century Gothic" w:hAnsi="Century Gothic"/>
          <w:b/>
          <w:bCs/>
        </w:rPr>
        <w:t xml:space="preserve">alidación </w:t>
      </w:r>
      <w:r>
        <w:rPr>
          <w:rFonts w:ascii="Century Gothic" w:hAnsi="Century Gothic"/>
          <w:b/>
          <w:bCs/>
        </w:rPr>
        <w:t>t</w:t>
      </w:r>
      <w:r w:rsidRPr="00547BCB">
        <w:rPr>
          <w:rFonts w:ascii="Century Gothic" w:hAnsi="Century Gothic"/>
          <w:b/>
          <w:bCs/>
        </w:rPr>
        <w:t xml:space="preserve">écnica para </w:t>
      </w:r>
      <w:r>
        <w:rPr>
          <w:rFonts w:ascii="Century Gothic" w:hAnsi="Century Gothic"/>
          <w:b/>
          <w:bCs/>
        </w:rPr>
        <w:t>o</w:t>
      </w:r>
      <w:r w:rsidRPr="00547BCB">
        <w:rPr>
          <w:rFonts w:ascii="Century Gothic" w:hAnsi="Century Gothic"/>
          <w:b/>
          <w:bCs/>
        </w:rPr>
        <w:t xml:space="preserve">peraciones de </w:t>
      </w:r>
      <w:r>
        <w:rPr>
          <w:rFonts w:ascii="Century Gothic" w:hAnsi="Century Gothic"/>
          <w:b/>
          <w:bCs/>
        </w:rPr>
        <w:t>s</w:t>
      </w:r>
      <w:r w:rsidRPr="00547BCB">
        <w:rPr>
          <w:rFonts w:ascii="Century Gothic" w:hAnsi="Century Gothic"/>
          <w:b/>
          <w:bCs/>
        </w:rPr>
        <w:t xml:space="preserve">uministro de GNL Buque a Buque (STS) en el </w:t>
      </w:r>
      <w:r>
        <w:rPr>
          <w:rFonts w:ascii="Century Gothic" w:hAnsi="Century Gothic"/>
          <w:b/>
          <w:bCs/>
        </w:rPr>
        <w:t>p</w:t>
      </w:r>
      <w:r w:rsidRPr="00547BCB">
        <w:rPr>
          <w:rFonts w:ascii="Century Gothic" w:hAnsi="Century Gothic"/>
          <w:b/>
          <w:bCs/>
        </w:rPr>
        <w:t>uerto</w:t>
      </w:r>
      <w:r>
        <w:rPr>
          <w:rFonts w:ascii="Century Gothic" w:hAnsi="Century Gothic"/>
          <w:b/>
          <w:bCs/>
        </w:rPr>
        <w:t xml:space="preserve"> de</w:t>
      </w:r>
      <w:r w:rsidRPr="00547BCB">
        <w:rPr>
          <w:rFonts w:ascii="Century Gothic" w:hAnsi="Century Gothic"/>
          <w:b/>
          <w:bCs/>
        </w:rPr>
        <w:t xml:space="preserve"> </w:t>
      </w:r>
      <w:r w:rsidRPr="00547BCB">
        <w:rPr>
          <w:rFonts w:ascii="Century Gothic" w:hAnsi="Century Gothic"/>
          <w:b/>
          <w:bCs/>
          <w:color w:val="EE0000"/>
        </w:rPr>
        <w:t>XX</w:t>
      </w:r>
      <w:r>
        <w:rPr>
          <w:rFonts w:ascii="Century Gothic" w:hAnsi="Century Gothic"/>
          <w:b/>
          <w:bCs/>
          <w:color w:val="EE0000"/>
        </w:rPr>
        <w:t>X</w:t>
      </w:r>
      <w:r w:rsidRPr="00547BCB">
        <w:rPr>
          <w:rFonts w:ascii="Century Gothic" w:hAnsi="Century Gothic"/>
          <w:b/>
          <w:bCs/>
          <w:color w:val="EE0000"/>
        </w:rPr>
        <w:t xml:space="preserve">X </w:t>
      </w:r>
    </w:p>
    <w:p w14:paraId="025A6773" w14:textId="599B696D" w:rsidR="009144DA" w:rsidRPr="00547BCB" w:rsidRDefault="009144DA" w:rsidP="009144DA">
      <w:pPr>
        <w:spacing w:line="276" w:lineRule="auto"/>
        <w:jc w:val="both"/>
        <w:rPr>
          <w:rFonts w:ascii="Century Gothic" w:hAnsi="Century Gothic"/>
          <w:b/>
          <w:bCs/>
          <w:color w:val="EE0000"/>
        </w:rPr>
      </w:pPr>
      <w:r w:rsidRPr="00547BCB">
        <w:rPr>
          <w:rFonts w:ascii="Century Gothic" w:hAnsi="Century Gothic"/>
        </w:rPr>
        <w:t xml:space="preserve">Se podrá tramitar en el mismo expediente la validación de diversas tipologías de buques receptores, siempre que se presente la documentación específica </w:t>
      </w:r>
      <w:r w:rsidR="00EA5995">
        <w:rPr>
          <w:rFonts w:ascii="Century Gothic" w:hAnsi="Century Gothic"/>
        </w:rPr>
        <w:t xml:space="preserve">para </w:t>
      </w:r>
      <w:r w:rsidRPr="00547BCB">
        <w:rPr>
          <w:rFonts w:ascii="Century Gothic" w:hAnsi="Century Gothic"/>
        </w:rPr>
        <w:t xml:space="preserve">cada tipología de buques receptores. </w:t>
      </w:r>
    </w:p>
    <w:p w14:paraId="5BAF07E9" w14:textId="5E8C8B75" w:rsidR="003457E7" w:rsidRPr="00547BCB" w:rsidRDefault="003457E7" w:rsidP="009144DA">
      <w:pPr>
        <w:spacing w:line="276" w:lineRule="auto"/>
        <w:jc w:val="both"/>
        <w:rPr>
          <w:rFonts w:ascii="Century Gothic" w:hAnsi="Century Gothic"/>
          <w:b/>
          <w:bCs/>
          <w:color w:val="EE0000"/>
        </w:rPr>
      </w:pPr>
      <w:r w:rsidRPr="00547BCB">
        <w:rPr>
          <w:rFonts w:ascii="Century Gothic" w:hAnsi="Century Gothic"/>
        </w:rPr>
        <w:t xml:space="preserve">La </w:t>
      </w:r>
      <w:r>
        <w:rPr>
          <w:rFonts w:ascii="Century Gothic" w:hAnsi="Century Gothic"/>
        </w:rPr>
        <w:t>v</w:t>
      </w:r>
      <w:r w:rsidRPr="00547BCB">
        <w:rPr>
          <w:rFonts w:ascii="Century Gothic" w:hAnsi="Century Gothic"/>
        </w:rPr>
        <w:t xml:space="preserve">alidación </w:t>
      </w:r>
      <w:r>
        <w:rPr>
          <w:rFonts w:ascii="Century Gothic" w:hAnsi="Century Gothic"/>
        </w:rPr>
        <w:t>t</w:t>
      </w:r>
      <w:r w:rsidRPr="00547BCB">
        <w:rPr>
          <w:rFonts w:ascii="Century Gothic" w:hAnsi="Century Gothic"/>
        </w:rPr>
        <w:t xml:space="preserve">écnica es el documento que permite, obtenida previamente la autorización </w:t>
      </w:r>
      <w:r w:rsidR="00134184">
        <w:rPr>
          <w:rFonts w:ascii="Century Gothic" w:hAnsi="Century Gothic"/>
        </w:rPr>
        <w:t>(título habilitante) de servicio comercial,</w:t>
      </w:r>
      <w:r w:rsidRPr="00547BCB">
        <w:rPr>
          <w:rFonts w:ascii="Century Gothic" w:hAnsi="Century Gothic"/>
        </w:rPr>
        <w:t xml:space="preserve"> la prestación del servicio de suministro</w:t>
      </w:r>
      <w:r w:rsidR="00FC2C95">
        <w:rPr>
          <w:rFonts w:ascii="Century Gothic" w:hAnsi="Century Gothic"/>
        </w:rPr>
        <w:t xml:space="preserve"> de GNL</w:t>
      </w:r>
      <w:r w:rsidRPr="00547BCB">
        <w:rPr>
          <w:rFonts w:ascii="Century Gothic" w:hAnsi="Century Gothic"/>
        </w:rPr>
        <w:t xml:space="preserve"> de forma segura en la modalidad </w:t>
      </w:r>
      <w:r w:rsidR="00FC2C95">
        <w:rPr>
          <w:rFonts w:ascii="Century Gothic" w:hAnsi="Century Gothic"/>
        </w:rPr>
        <w:t>STS</w:t>
      </w:r>
      <w:r w:rsidRPr="00547BCB">
        <w:rPr>
          <w:rFonts w:ascii="Century Gothic" w:hAnsi="Century Gothic"/>
        </w:rPr>
        <w:t xml:space="preserve"> </w:t>
      </w:r>
      <w:r w:rsidRPr="00AB4E24">
        <w:rPr>
          <w:rFonts w:ascii="Century Gothic" w:hAnsi="Century Gothic"/>
          <w:color w:val="ED0000"/>
        </w:rPr>
        <w:t xml:space="preserve">para uno o diversos buques suministradores y </w:t>
      </w:r>
      <w:r w:rsidR="009144DA">
        <w:rPr>
          <w:rFonts w:ascii="Century Gothic" w:hAnsi="Century Gothic"/>
          <w:color w:val="ED0000"/>
        </w:rPr>
        <w:t xml:space="preserve">para </w:t>
      </w:r>
      <w:r w:rsidR="00752FE8">
        <w:rPr>
          <w:rFonts w:ascii="Century Gothic" w:hAnsi="Century Gothic"/>
          <w:color w:val="ED0000"/>
        </w:rPr>
        <w:t xml:space="preserve">una o </w:t>
      </w:r>
      <w:r w:rsidRPr="00AB4E24">
        <w:rPr>
          <w:rFonts w:ascii="Century Gothic" w:hAnsi="Century Gothic"/>
          <w:color w:val="ED0000"/>
        </w:rPr>
        <w:t>diversas tipologías de buques receptores</w:t>
      </w:r>
      <w:r w:rsidR="0014783C">
        <w:rPr>
          <w:rFonts w:ascii="Century Gothic" w:hAnsi="Century Gothic"/>
          <w:color w:val="ED0000"/>
        </w:rPr>
        <w:t xml:space="preserve">: </w:t>
      </w:r>
      <w:r w:rsidR="0014783C" w:rsidRPr="0014783C">
        <w:rPr>
          <w:rFonts w:ascii="Century Gothic" w:hAnsi="Century Gothic"/>
          <w:color w:val="ED0000"/>
        </w:rPr>
        <w:t xml:space="preserve">Buques </w:t>
      </w:r>
      <w:r w:rsidR="0014783C">
        <w:rPr>
          <w:rFonts w:ascii="Century Gothic" w:hAnsi="Century Gothic"/>
          <w:color w:val="ED0000"/>
        </w:rPr>
        <w:t>de</w:t>
      </w:r>
      <w:r w:rsidR="0014783C" w:rsidRPr="0014783C">
        <w:rPr>
          <w:rFonts w:ascii="Century Gothic" w:hAnsi="Century Gothic"/>
          <w:color w:val="ED0000"/>
        </w:rPr>
        <w:t xml:space="preserve"> pasaje</w:t>
      </w:r>
      <w:r w:rsidR="0014783C">
        <w:rPr>
          <w:rFonts w:ascii="Century Gothic" w:hAnsi="Century Gothic"/>
          <w:color w:val="ED0000"/>
        </w:rPr>
        <w:t>,</w:t>
      </w:r>
      <w:r w:rsidR="0014783C" w:rsidRPr="0014783C">
        <w:rPr>
          <w:rFonts w:ascii="Century Gothic" w:hAnsi="Century Gothic"/>
          <w:color w:val="ED0000"/>
        </w:rPr>
        <w:t xml:space="preserve"> incluyendo </w:t>
      </w:r>
      <w:r w:rsidR="0014783C">
        <w:rPr>
          <w:rFonts w:ascii="Century Gothic" w:hAnsi="Century Gothic"/>
          <w:color w:val="ED0000"/>
        </w:rPr>
        <w:t>c</w:t>
      </w:r>
      <w:r w:rsidR="0014783C" w:rsidRPr="0014783C">
        <w:rPr>
          <w:rFonts w:ascii="Century Gothic" w:hAnsi="Century Gothic"/>
          <w:color w:val="ED0000"/>
        </w:rPr>
        <w:t>ruceros, transbordadores..etc)</w:t>
      </w:r>
      <w:r w:rsidR="0014783C">
        <w:rPr>
          <w:rFonts w:ascii="Century Gothic" w:hAnsi="Century Gothic"/>
          <w:color w:val="ED0000"/>
        </w:rPr>
        <w:t xml:space="preserve">, </w:t>
      </w:r>
      <w:r w:rsidR="0014783C" w:rsidRPr="0014783C">
        <w:rPr>
          <w:rFonts w:ascii="Century Gothic" w:hAnsi="Century Gothic"/>
          <w:color w:val="ED0000"/>
        </w:rPr>
        <w:t>Buques car carrier (incluyendo car carrier, roro...etc)</w:t>
      </w:r>
      <w:r w:rsidR="0014783C">
        <w:rPr>
          <w:rFonts w:ascii="Century Gothic" w:hAnsi="Century Gothic"/>
          <w:color w:val="ED0000"/>
        </w:rPr>
        <w:t xml:space="preserve">, </w:t>
      </w:r>
      <w:r w:rsidR="0014783C" w:rsidRPr="0014783C">
        <w:rPr>
          <w:rFonts w:ascii="Century Gothic" w:hAnsi="Century Gothic"/>
          <w:color w:val="ED0000"/>
        </w:rPr>
        <w:t xml:space="preserve">Buques </w:t>
      </w:r>
      <w:r w:rsidR="0014783C">
        <w:rPr>
          <w:rFonts w:ascii="Century Gothic" w:hAnsi="Century Gothic"/>
          <w:color w:val="ED0000"/>
        </w:rPr>
        <w:t xml:space="preserve">de </w:t>
      </w:r>
      <w:r w:rsidR="0014783C" w:rsidRPr="0014783C">
        <w:rPr>
          <w:rFonts w:ascii="Century Gothic" w:hAnsi="Century Gothic"/>
          <w:color w:val="ED0000"/>
        </w:rPr>
        <w:t>carga (incluyendo general, petroleros, LNG, quimiqueros)</w:t>
      </w:r>
      <w:r w:rsidR="0014783C">
        <w:rPr>
          <w:rFonts w:ascii="Century Gothic" w:hAnsi="Century Gothic"/>
          <w:color w:val="ED0000"/>
        </w:rPr>
        <w:t>, Otros</w:t>
      </w:r>
      <w:r w:rsidRPr="00547BCB">
        <w:rPr>
          <w:rFonts w:ascii="Century Gothic" w:hAnsi="Century Gothic"/>
        </w:rPr>
        <w:t xml:space="preserve"> en las zonas del </w:t>
      </w:r>
      <w:r w:rsidR="009144DA">
        <w:rPr>
          <w:rFonts w:ascii="Century Gothic" w:hAnsi="Century Gothic"/>
        </w:rPr>
        <w:t>p</w:t>
      </w:r>
      <w:r w:rsidRPr="00547BCB">
        <w:rPr>
          <w:rFonts w:ascii="Century Gothic" w:hAnsi="Century Gothic"/>
        </w:rPr>
        <w:t xml:space="preserve">uerto </w:t>
      </w:r>
      <w:r w:rsidRPr="00547BCB">
        <w:rPr>
          <w:rFonts w:ascii="Century Gothic" w:hAnsi="Century Gothic"/>
          <w:color w:val="EE0000"/>
        </w:rPr>
        <w:t xml:space="preserve">XXXX </w:t>
      </w:r>
      <w:r w:rsidRPr="00547BCB">
        <w:rPr>
          <w:rFonts w:ascii="Century Gothic" w:hAnsi="Century Gothic"/>
          <w:color w:val="000000" w:themeColor="text1"/>
        </w:rPr>
        <w:t>analizadas y</w:t>
      </w:r>
      <w:r w:rsidRPr="00547BCB">
        <w:rPr>
          <w:rFonts w:ascii="Century Gothic" w:hAnsi="Century Gothic"/>
          <w:color w:val="EE0000"/>
        </w:rPr>
        <w:t xml:space="preserve"> </w:t>
      </w:r>
      <w:r w:rsidRPr="00AB4E24">
        <w:rPr>
          <w:rFonts w:ascii="Century Gothic" w:hAnsi="Century Gothic"/>
        </w:rPr>
        <w:t>habilitada</w:t>
      </w:r>
      <w:r w:rsidRPr="00547BCB">
        <w:rPr>
          <w:rFonts w:ascii="Century Gothic" w:hAnsi="Century Gothic"/>
        </w:rPr>
        <w:t xml:space="preserve">s </w:t>
      </w:r>
      <w:r w:rsidRPr="00AB4E24">
        <w:rPr>
          <w:rFonts w:ascii="Century Gothic" w:hAnsi="Century Gothic"/>
        </w:rPr>
        <w:t xml:space="preserve">para </w:t>
      </w:r>
      <w:r w:rsidRPr="00547BCB">
        <w:rPr>
          <w:rFonts w:ascii="Century Gothic" w:hAnsi="Century Gothic"/>
        </w:rPr>
        <w:t>llevar a cabo este tipo de operativas.</w:t>
      </w:r>
      <w:r w:rsidRPr="00547BCB">
        <w:rPr>
          <w:rFonts w:ascii="Century Gothic" w:hAnsi="Century Gothic"/>
          <w:b/>
          <w:bCs/>
        </w:rPr>
        <w:t xml:space="preserve"> </w:t>
      </w:r>
    </w:p>
    <w:p w14:paraId="64CF4EE2" w14:textId="6AA0906A" w:rsidR="003457E7" w:rsidRPr="00547BCB" w:rsidRDefault="003457E7" w:rsidP="009144DA">
      <w:pPr>
        <w:spacing w:line="276" w:lineRule="auto"/>
        <w:jc w:val="both"/>
        <w:rPr>
          <w:rFonts w:ascii="Century Gothic" w:hAnsi="Century Gothic"/>
        </w:rPr>
      </w:pPr>
      <w:r w:rsidRPr="00547BCB">
        <w:rPr>
          <w:rFonts w:ascii="Century Gothic" w:hAnsi="Century Gothic"/>
        </w:rPr>
        <w:t xml:space="preserve">El procedimiento de tramitación del expediente de </w:t>
      </w:r>
      <w:r>
        <w:rPr>
          <w:rFonts w:ascii="Century Gothic" w:hAnsi="Century Gothic"/>
        </w:rPr>
        <w:t>v</w:t>
      </w:r>
      <w:r w:rsidRPr="00547BCB">
        <w:rPr>
          <w:rFonts w:ascii="Century Gothic" w:hAnsi="Century Gothic"/>
        </w:rPr>
        <w:t xml:space="preserve">alidación </w:t>
      </w:r>
      <w:r>
        <w:rPr>
          <w:rFonts w:ascii="Century Gothic" w:hAnsi="Century Gothic"/>
        </w:rPr>
        <w:t>t</w:t>
      </w:r>
      <w:r w:rsidRPr="00547BCB">
        <w:rPr>
          <w:rFonts w:ascii="Century Gothic" w:hAnsi="Century Gothic"/>
        </w:rPr>
        <w:t>écnica se resume en los siguiente</w:t>
      </w:r>
      <w:r>
        <w:rPr>
          <w:rFonts w:ascii="Century Gothic" w:hAnsi="Century Gothic"/>
        </w:rPr>
        <w:t>s</w:t>
      </w:r>
      <w:r w:rsidRPr="00547BCB">
        <w:rPr>
          <w:rFonts w:ascii="Century Gothic" w:hAnsi="Century Gothic"/>
        </w:rPr>
        <w:t xml:space="preserve"> puntos:</w:t>
      </w:r>
    </w:p>
    <w:p w14:paraId="00121AC2" w14:textId="518419D4" w:rsidR="003457E7" w:rsidRPr="00547BCB" w:rsidRDefault="003457E7" w:rsidP="006965D8">
      <w:pPr>
        <w:pStyle w:val="Prrafodelista"/>
        <w:numPr>
          <w:ilvl w:val="1"/>
          <w:numId w:val="18"/>
        </w:numPr>
        <w:spacing w:line="278" w:lineRule="auto"/>
        <w:ind w:left="426"/>
        <w:jc w:val="both"/>
        <w:rPr>
          <w:rFonts w:ascii="Century Gothic" w:hAnsi="Century Gothic"/>
        </w:rPr>
      </w:pPr>
      <w:r w:rsidRPr="00645315">
        <w:rPr>
          <w:rFonts w:ascii="Century Gothic" w:hAnsi="Century Gothic"/>
        </w:rPr>
        <w:t xml:space="preserve"> La solicitud de </w:t>
      </w:r>
      <w:r>
        <w:rPr>
          <w:rFonts w:ascii="Century Gothic" w:hAnsi="Century Gothic"/>
        </w:rPr>
        <w:t>v</w:t>
      </w:r>
      <w:r w:rsidRPr="00645315">
        <w:rPr>
          <w:rFonts w:ascii="Century Gothic" w:hAnsi="Century Gothic"/>
        </w:rPr>
        <w:t xml:space="preserve">alidación </w:t>
      </w:r>
      <w:r>
        <w:rPr>
          <w:rFonts w:ascii="Century Gothic" w:hAnsi="Century Gothic"/>
        </w:rPr>
        <w:t>t</w:t>
      </w:r>
      <w:r w:rsidRPr="00645315">
        <w:rPr>
          <w:rFonts w:ascii="Century Gothic" w:hAnsi="Century Gothic"/>
        </w:rPr>
        <w:t xml:space="preserve">écnica de suministro STS se dirigirá a la Autoridad Portuaria y se </w:t>
      </w:r>
      <w:r w:rsidRPr="00547BCB">
        <w:rPr>
          <w:rFonts w:ascii="Century Gothic" w:hAnsi="Century Gothic"/>
        </w:rPr>
        <w:t xml:space="preserve">presentará, por parte del </w:t>
      </w:r>
      <w:r w:rsidR="00856C49">
        <w:rPr>
          <w:rFonts w:ascii="Century Gothic" w:hAnsi="Century Gothic"/>
        </w:rPr>
        <w:t>prestador</w:t>
      </w:r>
      <w:r w:rsidRPr="00547BCB">
        <w:rPr>
          <w:rFonts w:ascii="Century Gothic" w:hAnsi="Century Gothic"/>
        </w:rPr>
        <w:t xml:space="preserve"> con autorización del servicio comercial o de forma simultánea a su tramitación, </w:t>
      </w:r>
      <w:r w:rsidRPr="00547BCB">
        <w:rPr>
          <w:rFonts w:ascii="Century Gothic" w:hAnsi="Century Gothic"/>
          <w:color w:val="EE0000"/>
        </w:rPr>
        <w:t>por</w:t>
      </w:r>
      <w:r w:rsidR="006E51AB">
        <w:rPr>
          <w:rFonts w:ascii="Century Gothic" w:hAnsi="Century Gothic"/>
          <w:color w:val="EE0000"/>
        </w:rPr>
        <w:t xml:space="preserve"> </w:t>
      </w:r>
      <w:r w:rsidRPr="00547BCB">
        <w:rPr>
          <w:rFonts w:ascii="Century Gothic" w:hAnsi="Century Gothic"/>
          <w:color w:val="EE0000"/>
        </w:rPr>
        <w:t>registro</w:t>
      </w:r>
      <w:r w:rsidR="006E51AB">
        <w:rPr>
          <w:rFonts w:ascii="Century Gothic" w:hAnsi="Century Gothic"/>
          <w:color w:val="EE0000"/>
        </w:rPr>
        <w:t>, correo electrónico,</w:t>
      </w:r>
      <w:r w:rsidRPr="00547BCB">
        <w:rPr>
          <w:rFonts w:ascii="Century Gothic" w:hAnsi="Century Gothic"/>
          <w:color w:val="EE0000"/>
        </w:rPr>
        <w:t xml:space="preserve"> o la plataforma electrónica que habilite la Autoridad Portuaria</w:t>
      </w:r>
      <w:r w:rsidRPr="00547BCB">
        <w:rPr>
          <w:rFonts w:ascii="Century Gothic" w:hAnsi="Century Gothic"/>
        </w:rPr>
        <w:t>. En esta solicitud se incluirá la identificación de la empresa suministradora con autorización</w:t>
      </w:r>
      <w:r w:rsidR="00EA5995">
        <w:rPr>
          <w:rFonts w:ascii="Century Gothic" w:hAnsi="Century Gothic"/>
        </w:rPr>
        <w:t xml:space="preserve"> de servicio comercial</w:t>
      </w:r>
      <w:r w:rsidRPr="00547BCB">
        <w:rPr>
          <w:rFonts w:ascii="Century Gothic" w:hAnsi="Century Gothic"/>
        </w:rPr>
        <w:t xml:space="preserve">, el buque suministrador, las tipologías de buques receptores a las que se pretende suministrar, </w:t>
      </w:r>
      <w:r w:rsidR="006019EA" w:rsidRPr="00547BCB">
        <w:rPr>
          <w:rFonts w:ascii="Century Gothic" w:hAnsi="Century Gothic"/>
        </w:rPr>
        <w:t>muelles</w:t>
      </w:r>
      <w:r w:rsidR="00F5741C">
        <w:rPr>
          <w:rFonts w:ascii="Century Gothic" w:hAnsi="Century Gothic"/>
        </w:rPr>
        <w:t>,</w:t>
      </w:r>
      <w:r w:rsidR="006019EA" w:rsidRPr="00547BCB">
        <w:rPr>
          <w:rFonts w:ascii="Century Gothic" w:hAnsi="Century Gothic"/>
        </w:rPr>
        <w:t xml:space="preserve"> terminales </w:t>
      </w:r>
      <w:r w:rsidR="00F5741C">
        <w:rPr>
          <w:rFonts w:ascii="Century Gothic" w:hAnsi="Century Gothic"/>
        </w:rPr>
        <w:t xml:space="preserve">o fondeaderos habilitados </w:t>
      </w:r>
      <w:r w:rsidR="006019EA" w:rsidRPr="00547BCB">
        <w:rPr>
          <w:rFonts w:ascii="Century Gothic" w:hAnsi="Century Gothic"/>
        </w:rPr>
        <w:t xml:space="preserve">donde se prestará el servicio, </w:t>
      </w:r>
      <w:r w:rsidRPr="00547BCB">
        <w:rPr>
          <w:rFonts w:ascii="Century Gothic" w:hAnsi="Century Gothic"/>
        </w:rPr>
        <w:t xml:space="preserve">y una estimación de las operaciones a realizar y de los volúmenes a suministrar. Junto a la solicitud se presentará la documentación de carácter técnico listada en el </w:t>
      </w:r>
      <w:r w:rsidR="00EA5995">
        <w:rPr>
          <w:rFonts w:ascii="Century Gothic" w:hAnsi="Century Gothic"/>
        </w:rPr>
        <w:t>apartado 2 del A</w:t>
      </w:r>
      <w:r w:rsidRPr="00547BCB">
        <w:rPr>
          <w:rFonts w:ascii="Century Gothic" w:hAnsi="Century Gothic"/>
        </w:rPr>
        <w:t>nexo II</w:t>
      </w:r>
      <w:r w:rsidR="00EA5995">
        <w:rPr>
          <w:rFonts w:ascii="Century Gothic" w:hAnsi="Century Gothic"/>
        </w:rPr>
        <w:t xml:space="preserve"> del presente PCP</w:t>
      </w:r>
      <w:r w:rsidRPr="00547BCB">
        <w:rPr>
          <w:rFonts w:ascii="Century Gothic" w:hAnsi="Century Gothic"/>
        </w:rPr>
        <w:t>.</w:t>
      </w:r>
    </w:p>
    <w:p w14:paraId="5199321B" w14:textId="55007191" w:rsidR="003457E7" w:rsidRPr="00400063" w:rsidRDefault="003457E7" w:rsidP="006965D8">
      <w:pPr>
        <w:pStyle w:val="Prrafodelista"/>
        <w:numPr>
          <w:ilvl w:val="1"/>
          <w:numId w:val="19"/>
        </w:numPr>
        <w:spacing w:line="278" w:lineRule="auto"/>
        <w:ind w:left="426"/>
        <w:jc w:val="both"/>
        <w:rPr>
          <w:rFonts w:ascii="Century Gothic" w:hAnsi="Century Gothic"/>
        </w:rPr>
      </w:pPr>
      <w:r w:rsidRPr="00547BCB">
        <w:rPr>
          <w:rFonts w:ascii="Century Gothic" w:hAnsi="Century Gothic"/>
        </w:rPr>
        <w:t xml:space="preserve"> El plazo para tramitar el expediente de validación técnica de suministro de GNL</w:t>
      </w:r>
      <w:r w:rsidR="00EA5995">
        <w:rPr>
          <w:rFonts w:ascii="Century Gothic" w:hAnsi="Century Gothic"/>
        </w:rPr>
        <w:t>-</w:t>
      </w:r>
      <w:r>
        <w:rPr>
          <w:rFonts w:ascii="Century Gothic" w:hAnsi="Century Gothic"/>
        </w:rPr>
        <w:t>STS</w:t>
      </w:r>
      <w:r w:rsidRPr="00547BCB">
        <w:rPr>
          <w:rFonts w:ascii="Century Gothic" w:hAnsi="Century Gothic"/>
        </w:rPr>
        <w:t xml:space="preserve"> para uno o distintos tipos de buques receptores </w:t>
      </w:r>
      <w:r w:rsidRPr="00400063">
        <w:rPr>
          <w:rFonts w:ascii="Century Gothic" w:hAnsi="Century Gothic"/>
        </w:rPr>
        <w:t>será de</w:t>
      </w:r>
      <w:r w:rsidRPr="008048FA">
        <w:rPr>
          <w:rFonts w:ascii="Century Gothic" w:hAnsi="Century Gothic"/>
        </w:rPr>
        <w:t xml:space="preserve"> 15 días hábiles. </w:t>
      </w:r>
      <w:r w:rsidRPr="00400063">
        <w:rPr>
          <w:rFonts w:ascii="Century Gothic" w:hAnsi="Century Gothic"/>
        </w:rPr>
        <w:lastRenderedPageBreak/>
        <w:t xml:space="preserve">Cabe resaltar que el expediente no se empezará a tramitar hasta que no se haya presentado toda la documentación listada en el </w:t>
      </w:r>
      <w:r w:rsidR="00EA5995" w:rsidRPr="00400063">
        <w:rPr>
          <w:rFonts w:ascii="Century Gothic" w:hAnsi="Century Gothic"/>
        </w:rPr>
        <w:t>apartado 2 del A</w:t>
      </w:r>
      <w:r w:rsidRPr="00400063">
        <w:rPr>
          <w:rFonts w:ascii="Century Gothic" w:hAnsi="Century Gothic"/>
        </w:rPr>
        <w:t>nexo II</w:t>
      </w:r>
      <w:r w:rsidR="00EA5995" w:rsidRPr="00400063">
        <w:rPr>
          <w:rFonts w:ascii="Century Gothic" w:hAnsi="Century Gothic"/>
        </w:rPr>
        <w:t xml:space="preserve"> de este PCP</w:t>
      </w:r>
      <w:r w:rsidRPr="00400063">
        <w:rPr>
          <w:rFonts w:ascii="Century Gothic" w:hAnsi="Century Gothic"/>
        </w:rPr>
        <w:t>.</w:t>
      </w:r>
    </w:p>
    <w:p w14:paraId="7D242766" w14:textId="551A5682" w:rsidR="003457E7" w:rsidRPr="00400063" w:rsidRDefault="003457E7" w:rsidP="006965D8">
      <w:pPr>
        <w:pStyle w:val="Prrafodelista"/>
        <w:numPr>
          <w:ilvl w:val="1"/>
          <w:numId w:val="19"/>
        </w:numPr>
        <w:spacing w:line="278" w:lineRule="auto"/>
        <w:ind w:left="426"/>
        <w:jc w:val="both"/>
        <w:rPr>
          <w:rFonts w:ascii="Century Gothic" w:hAnsi="Century Gothic"/>
        </w:rPr>
      </w:pPr>
      <w:r w:rsidRPr="00400063">
        <w:rPr>
          <w:rFonts w:ascii="Century Gothic" w:hAnsi="Century Gothic"/>
        </w:rPr>
        <w:t xml:space="preserve"> </w:t>
      </w:r>
      <w:r w:rsidR="00593180" w:rsidRPr="00400063">
        <w:rPr>
          <w:rFonts w:ascii="Century Gothic" w:hAnsi="Century Gothic"/>
        </w:rPr>
        <w:t>L</w:t>
      </w:r>
      <w:r w:rsidRPr="00400063">
        <w:rPr>
          <w:rFonts w:ascii="Century Gothic" w:hAnsi="Century Gothic"/>
        </w:rPr>
        <w:t xml:space="preserve">a Autoridad Portuaria </w:t>
      </w:r>
      <w:r w:rsidR="003B2FC7">
        <w:rPr>
          <w:rFonts w:ascii="Century Gothic" w:hAnsi="Century Gothic"/>
        </w:rPr>
        <w:t>s</w:t>
      </w:r>
      <w:r w:rsidRPr="00400063">
        <w:rPr>
          <w:rFonts w:ascii="Century Gothic" w:hAnsi="Century Gothic"/>
        </w:rPr>
        <w:t>olicitar</w:t>
      </w:r>
      <w:r w:rsidR="003B2FC7">
        <w:rPr>
          <w:rFonts w:ascii="Century Gothic" w:hAnsi="Century Gothic"/>
        </w:rPr>
        <w:t>á</w:t>
      </w:r>
      <w:r w:rsidR="00593180" w:rsidRPr="00400063">
        <w:rPr>
          <w:rFonts w:ascii="Century Gothic" w:hAnsi="Century Gothic"/>
        </w:rPr>
        <w:t xml:space="preserve"> a la Capitanía Marítima </w:t>
      </w:r>
      <w:r w:rsidR="00593180" w:rsidRPr="008048FA">
        <w:rPr>
          <w:rFonts w:ascii="Century Gothic" w:hAnsi="Century Gothic"/>
          <w:b/>
          <w:bCs/>
        </w:rPr>
        <w:t>informe</w:t>
      </w:r>
      <w:r w:rsidRPr="008048FA">
        <w:rPr>
          <w:rFonts w:ascii="Century Gothic" w:hAnsi="Century Gothic"/>
          <w:b/>
          <w:bCs/>
        </w:rPr>
        <w:t xml:space="preserve"> </w:t>
      </w:r>
      <w:r w:rsidR="00593180" w:rsidRPr="008048FA">
        <w:rPr>
          <w:rFonts w:ascii="Century Gothic" w:hAnsi="Century Gothic"/>
          <w:b/>
          <w:bCs/>
        </w:rPr>
        <w:t xml:space="preserve">sobre las condiciones técnico-náuticas del </w:t>
      </w:r>
      <w:r w:rsidR="00155051">
        <w:rPr>
          <w:rFonts w:ascii="Century Gothic" w:hAnsi="Century Gothic"/>
          <w:b/>
          <w:bCs/>
        </w:rPr>
        <w:t>servicio</w:t>
      </w:r>
      <w:r w:rsidR="00534C3C">
        <w:rPr>
          <w:rFonts w:ascii="Century Gothic" w:hAnsi="Century Gothic"/>
          <w:b/>
          <w:bCs/>
        </w:rPr>
        <w:t xml:space="preserve">, </w:t>
      </w:r>
      <w:r w:rsidR="00534C3C">
        <w:rPr>
          <w:rFonts w:ascii="Century Gothic" w:hAnsi="Century Gothic"/>
        </w:rPr>
        <w:t>así como</w:t>
      </w:r>
      <w:r w:rsidR="00593180" w:rsidRPr="00400063">
        <w:rPr>
          <w:rFonts w:ascii="Century Gothic" w:hAnsi="Century Gothic"/>
        </w:rPr>
        <w:t xml:space="preserve"> </w:t>
      </w:r>
      <w:r w:rsidR="00F37ADF" w:rsidRPr="008048FA">
        <w:rPr>
          <w:rFonts w:ascii="Century Gothic" w:hAnsi="Century Gothic"/>
          <w:b/>
          <w:bCs/>
        </w:rPr>
        <w:t xml:space="preserve">informe </w:t>
      </w:r>
      <w:r w:rsidR="00BB4897" w:rsidRPr="008048FA">
        <w:rPr>
          <w:rFonts w:ascii="Century Gothic" w:hAnsi="Century Gothic"/>
          <w:b/>
          <w:bCs/>
        </w:rPr>
        <w:t>de idoneidad</w:t>
      </w:r>
      <w:r w:rsidR="00BB4897" w:rsidRPr="00400063">
        <w:rPr>
          <w:rFonts w:ascii="Century Gothic" w:hAnsi="Century Gothic"/>
        </w:rPr>
        <w:t xml:space="preserve"> </w:t>
      </w:r>
      <w:r w:rsidR="008048FA">
        <w:rPr>
          <w:rFonts w:ascii="Century Gothic" w:hAnsi="Century Gothic"/>
        </w:rPr>
        <w:t>d</w:t>
      </w:r>
      <w:r w:rsidR="00593180" w:rsidRPr="00400063">
        <w:rPr>
          <w:rFonts w:ascii="Century Gothic" w:hAnsi="Century Gothic"/>
        </w:rPr>
        <w:t>e</w:t>
      </w:r>
      <w:r w:rsidRPr="00400063">
        <w:rPr>
          <w:rFonts w:ascii="Century Gothic" w:hAnsi="Century Gothic"/>
        </w:rPr>
        <w:t>l buque suministrador</w:t>
      </w:r>
      <w:r w:rsidR="00BB4897" w:rsidRPr="00400063">
        <w:rPr>
          <w:rFonts w:ascii="Century Gothic" w:hAnsi="Century Gothic"/>
        </w:rPr>
        <w:t>, el cual</w:t>
      </w:r>
      <w:r w:rsidR="00F37ADF" w:rsidRPr="00400063">
        <w:rPr>
          <w:rFonts w:ascii="Century Gothic" w:hAnsi="Century Gothic"/>
        </w:rPr>
        <w:t xml:space="preserve"> será</w:t>
      </w:r>
      <w:r w:rsidR="00593180" w:rsidRPr="00400063">
        <w:rPr>
          <w:rFonts w:ascii="Century Gothic" w:hAnsi="Century Gothic"/>
        </w:rPr>
        <w:t xml:space="preserve"> válido para todas las Capitanías Marítimas mientras se mantengan las condiciones del buque informado. </w:t>
      </w:r>
      <w:r w:rsidR="00396C53" w:rsidRPr="00400063">
        <w:rPr>
          <w:rFonts w:ascii="Century Gothic" w:hAnsi="Century Gothic"/>
        </w:rPr>
        <w:t xml:space="preserve">La emisión del informe sobre las condiciones técnico-náuticas </w:t>
      </w:r>
      <w:r w:rsidR="008048FA">
        <w:rPr>
          <w:rFonts w:ascii="Century Gothic" w:hAnsi="Century Gothic"/>
        </w:rPr>
        <w:t xml:space="preserve">dependerá de </w:t>
      </w:r>
      <w:r w:rsidR="00D40F64" w:rsidRPr="00400063">
        <w:rPr>
          <w:rFonts w:ascii="Century Gothic" w:hAnsi="Century Gothic"/>
        </w:rPr>
        <w:t xml:space="preserve">los </w:t>
      </w:r>
      <w:r w:rsidR="00D40F64" w:rsidRPr="008048FA">
        <w:rPr>
          <w:rFonts w:ascii="Century Gothic" w:hAnsi="Century Gothic"/>
          <w:b/>
          <w:bCs/>
        </w:rPr>
        <w:t xml:space="preserve">análisis de riesgos </w:t>
      </w:r>
      <w:r w:rsidR="003B2FC7" w:rsidRPr="003B2FC7">
        <w:rPr>
          <w:rFonts w:ascii="Century Gothic" w:hAnsi="Century Gothic"/>
        </w:rPr>
        <w:t>para la operativa solicitada</w:t>
      </w:r>
      <w:r w:rsidR="00400063" w:rsidRPr="003B2FC7">
        <w:rPr>
          <w:rFonts w:ascii="Century Gothic" w:hAnsi="Century Gothic"/>
        </w:rPr>
        <w:t>.</w:t>
      </w:r>
      <w:r w:rsidR="00400063" w:rsidRPr="008048FA">
        <w:rPr>
          <w:rFonts w:ascii="Century Gothic" w:hAnsi="Century Gothic"/>
        </w:rPr>
        <w:t xml:space="preserve"> El plazo de emisión de ambos informes </w:t>
      </w:r>
      <w:r w:rsidR="00400063">
        <w:rPr>
          <w:rFonts w:ascii="Century Gothic" w:hAnsi="Century Gothic"/>
        </w:rPr>
        <w:t xml:space="preserve">por la Capitanía Marítima </w:t>
      </w:r>
      <w:r w:rsidR="00400063" w:rsidRPr="008048FA">
        <w:rPr>
          <w:rFonts w:ascii="Century Gothic" w:hAnsi="Century Gothic"/>
        </w:rPr>
        <w:t>deberá ser inferior a 15 días hábiles.</w:t>
      </w:r>
    </w:p>
    <w:p w14:paraId="6F08699D" w14:textId="2D707E2B" w:rsidR="003457E7" w:rsidRPr="00595B0E" w:rsidRDefault="003457E7" w:rsidP="006965D8">
      <w:pPr>
        <w:pStyle w:val="Prrafodelista"/>
        <w:numPr>
          <w:ilvl w:val="1"/>
          <w:numId w:val="19"/>
        </w:numPr>
        <w:spacing w:line="278" w:lineRule="auto"/>
        <w:ind w:left="426"/>
        <w:jc w:val="both"/>
        <w:rPr>
          <w:rFonts w:ascii="Century Gothic" w:hAnsi="Century Gothic"/>
        </w:rPr>
      </w:pPr>
      <w:r w:rsidRPr="00595B0E">
        <w:rPr>
          <w:rFonts w:ascii="Century Gothic" w:hAnsi="Century Gothic"/>
        </w:rPr>
        <w:t xml:space="preserve">Una vez </w:t>
      </w:r>
      <w:r w:rsidR="00774BF0">
        <w:rPr>
          <w:rFonts w:ascii="Century Gothic" w:hAnsi="Century Gothic"/>
        </w:rPr>
        <w:t>revisada</w:t>
      </w:r>
      <w:r w:rsidR="00593180" w:rsidRPr="00595B0E">
        <w:rPr>
          <w:rFonts w:ascii="Century Gothic" w:hAnsi="Century Gothic"/>
        </w:rPr>
        <w:t xml:space="preserve"> la documentación</w:t>
      </w:r>
      <w:r w:rsidR="00774BF0">
        <w:rPr>
          <w:rFonts w:ascii="Century Gothic" w:hAnsi="Century Gothic"/>
        </w:rPr>
        <w:t xml:space="preserve"> y obtenidos los informes de la Capitanía Marítima conforme al apartado anterior</w:t>
      </w:r>
      <w:r w:rsidR="00593180" w:rsidRPr="00595B0E">
        <w:rPr>
          <w:rFonts w:ascii="Century Gothic" w:hAnsi="Century Gothic"/>
        </w:rPr>
        <w:t xml:space="preserve">, la Autoridad Portuaria emitirá </w:t>
      </w:r>
      <w:r w:rsidRPr="00595B0E">
        <w:rPr>
          <w:rFonts w:ascii="Century Gothic" w:hAnsi="Century Gothic"/>
        </w:rPr>
        <w:t>la resolución de validación técnica</w:t>
      </w:r>
      <w:r w:rsidR="00546BA7">
        <w:rPr>
          <w:rFonts w:ascii="Century Gothic" w:hAnsi="Century Gothic"/>
        </w:rPr>
        <w:t xml:space="preserve"> para aquellas tipologías de buques receptores que</w:t>
      </w:r>
      <w:r w:rsidR="00774BF0">
        <w:rPr>
          <w:rFonts w:ascii="Century Gothic" w:hAnsi="Century Gothic"/>
        </w:rPr>
        <w:t xml:space="preserve"> </w:t>
      </w:r>
      <w:r w:rsidR="00546BA7">
        <w:rPr>
          <w:rFonts w:ascii="Century Gothic" w:hAnsi="Century Gothic"/>
        </w:rPr>
        <w:t>estime. La resolución</w:t>
      </w:r>
      <w:r w:rsidR="00F317FA">
        <w:rPr>
          <w:rFonts w:ascii="Century Gothic" w:hAnsi="Century Gothic"/>
        </w:rPr>
        <w:t xml:space="preserve"> </w:t>
      </w:r>
      <w:r w:rsidRPr="00595B0E">
        <w:rPr>
          <w:rFonts w:ascii="Century Gothic" w:hAnsi="Century Gothic"/>
        </w:rPr>
        <w:t>incluirá los informes preceptivos</w:t>
      </w:r>
      <w:r w:rsidR="00593180" w:rsidRPr="00595B0E">
        <w:rPr>
          <w:rFonts w:ascii="Century Gothic" w:hAnsi="Century Gothic"/>
        </w:rPr>
        <w:t xml:space="preserve"> y</w:t>
      </w:r>
      <w:r w:rsidRPr="00595B0E">
        <w:rPr>
          <w:rFonts w:ascii="Century Gothic" w:hAnsi="Century Gothic"/>
        </w:rPr>
        <w:t xml:space="preserve"> las condiciones técnicas</w:t>
      </w:r>
      <w:r w:rsidR="00593180" w:rsidRPr="00595B0E">
        <w:rPr>
          <w:rFonts w:ascii="Century Gothic" w:hAnsi="Century Gothic"/>
        </w:rPr>
        <w:t xml:space="preserve"> del presente</w:t>
      </w:r>
      <w:r w:rsidRPr="00595B0E">
        <w:rPr>
          <w:rFonts w:ascii="Century Gothic" w:hAnsi="Century Gothic"/>
        </w:rPr>
        <w:t xml:space="preserve"> Anexo I para la modalidad STS.</w:t>
      </w:r>
      <w:r w:rsidR="00595B0E" w:rsidRPr="00595B0E">
        <w:rPr>
          <w:rFonts w:ascii="Aptos" w:eastAsia="Times New Roman" w:hAnsi="Aptos" w:cs="Aptos"/>
          <w:color w:val="000000"/>
          <w:sz w:val="24"/>
          <w:szCs w:val="24"/>
          <w:lang w:eastAsia="es-ES"/>
        </w:rPr>
        <w:t xml:space="preserve"> </w:t>
      </w:r>
      <w:r w:rsidR="00595B0E" w:rsidRPr="00595B0E">
        <w:rPr>
          <w:rFonts w:ascii="Century Gothic" w:hAnsi="Century Gothic"/>
        </w:rPr>
        <w:t xml:space="preserve">La resolución de validación técnica implica la aceptación y cumplimiento por el </w:t>
      </w:r>
      <w:r w:rsidR="00595B0E">
        <w:rPr>
          <w:rFonts w:ascii="Century Gothic" w:hAnsi="Century Gothic"/>
        </w:rPr>
        <w:t>solicitante</w:t>
      </w:r>
      <w:r w:rsidR="00595B0E" w:rsidRPr="00595B0E">
        <w:rPr>
          <w:rFonts w:ascii="Century Gothic" w:hAnsi="Century Gothic"/>
        </w:rPr>
        <w:t xml:space="preserve"> de los requisitos del presente PCP y </w:t>
      </w:r>
      <w:r w:rsidR="00546BA7">
        <w:rPr>
          <w:rFonts w:ascii="Century Gothic" w:hAnsi="Century Gothic"/>
        </w:rPr>
        <w:t xml:space="preserve">de </w:t>
      </w:r>
      <w:r w:rsidR="00595B0E" w:rsidRPr="00595B0E">
        <w:rPr>
          <w:rFonts w:ascii="Century Gothic" w:hAnsi="Century Gothic"/>
        </w:rPr>
        <w:t>sus Anexos</w:t>
      </w:r>
      <w:r w:rsidR="00595B0E">
        <w:rPr>
          <w:rFonts w:ascii="Century Gothic" w:hAnsi="Century Gothic"/>
        </w:rPr>
        <w:t>.</w:t>
      </w:r>
      <w:r w:rsidR="00595B0E" w:rsidRPr="00595B0E">
        <w:rPr>
          <w:rFonts w:ascii="Century Gothic" w:hAnsi="Century Gothic"/>
        </w:rPr>
        <w:t xml:space="preserve"> </w:t>
      </w:r>
    </w:p>
    <w:p w14:paraId="2085DDDC" w14:textId="7C7DCA05" w:rsidR="003457E7" w:rsidRPr="00067DA6" w:rsidRDefault="003457E7" w:rsidP="006965D8">
      <w:pPr>
        <w:pStyle w:val="Prrafodelista"/>
        <w:numPr>
          <w:ilvl w:val="1"/>
          <w:numId w:val="19"/>
        </w:numPr>
        <w:spacing w:line="278" w:lineRule="auto"/>
        <w:ind w:left="426"/>
        <w:jc w:val="both"/>
        <w:rPr>
          <w:rFonts w:ascii="Century Gothic" w:hAnsi="Century Gothic"/>
        </w:rPr>
      </w:pPr>
      <w:r w:rsidRPr="00067DA6">
        <w:rPr>
          <w:rFonts w:ascii="Century Gothic" w:hAnsi="Century Gothic"/>
        </w:rPr>
        <w:t xml:space="preserve">El plazo </w:t>
      </w:r>
      <w:r w:rsidR="001C03BE" w:rsidRPr="00067DA6">
        <w:rPr>
          <w:rFonts w:ascii="Century Gothic" w:hAnsi="Century Gothic"/>
        </w:rPr>
        <w:t xml:space="preserve">de </w:t>
      </w:r>
      <w:r w:rsidRPr="00067DA6">
        <w:rPr>
          <w:rFonts w:ascii="Century Gothic" w:hAnsi="Century Gothic"/>
        </w:rPr>
        <w:t>vigencia de la validación técnica será como máximo el mismo que el plazo de autorización</w:t>
      </w:r>
      <w:r w:rsidR="00023EE6" w:rsidRPr="00067DA6">
        <w:rPr>
          <w:rFonts w:ascii="Century Gothic" w:hAnsi="Century Gothic"/>
        </w:rPr>
        <w:t xml:space="preserve"> de servicio comercial</w:t>
      </w:r>
      <w:r w:rsidRPr="00067DA6">
        <w:rPr>
          <w:rFonts w:ascii="Century Gothic" w:hAnsi="Century Gothic"/>
        </w:rPr>
        <w:t xml:space="preserve">, es decir, </w:t>
      </w:r>
      <w:r w:rsidRPr="00067DA6">
        <w:rPr>
          <w:rFonts w:ascii="Century Gothic" w:hAnsi="Century Gothic"/>
          <w:color w:val="EE0000"/>
        </w:rPr>
        <w:t xml:space="preserve">6 </w:t>
      </w:r>
      <w:r w:rsidRPr="00067DA6">
        <w:rPr>
          <w:rFonts w:ascii="Century Gothic" w:hAnsi="Century Gothic"/>
        </w:rPr>
        <w:t xml:space="preserve">años, contados a partir de la fecha de firma de la resolución de validación técnica por parte de la Autoridad Portuaria. </w:t>
      </w:r>
    </w:p>
    <w:p w14:paraId="4A9D0A47" w14:textId="0DD82429" w:rsidR="003457E7" w:rsidRPr="00547BCB" w:rsidRDefault="003457E7" w:rsidP="006965D8">
      <w:pPr>
        <w:pStyle w:val="Prrafodelista"/>
        <w:numPr>
          <w:ilvl w:val="0"/>
          <w:numId w:val="18"/>
        </w:numPr>
        <w:spacing w:line="278" w:lineRule="auto"/>
        <w:jc w:val="both"/>
        <w:rPr>
          <w:rFonts w:ascii="Century Gothic" w:hAnsi="Century Gothic"/>
          <w:b/>
          <w:bCs/>
        </w:rPr>
      </w:pPr>
      <w:r w:rsidRPr="00547BCB">
        <w:rPr>
          <w:rFonts w:ascii="Century Gothic" w:hAnsi="Century Gothic"/>
          <w:b/>
          <w:bCs/>
        </w:rPr>
        <w:t xml:space="preserve">Procedimiento de </w:t>
      </w:r>
      <w:r w:rsidR="00516C40">
        <w:rPr>
          <w:rFonts w:ascii="Century Gothic" w:hAnsi="Century Gothic"/>
          <w:b/>
          <w:bCs/>
        </w:rPr>
        <w:t xml:space="preserve">revisión o de </w:t>
      </w:r>
      <w:r>
        <w:rPr>
          <w:rFonts w:ascii="Century Gothic" w:hAnsi="Century Gothic"/>
          <w:b/>
          <w:bCs/>
        </w:rPr>
        <w:t>r</w:t>
      </w:r>
      <w:r w:rsidRPr="00547BCB">
        <w:rPr>
          <w:rFonts w:ascii="Century Gothic" w:hAnsi="Century Gothic"/>
          <w:b/>
          <w:bCs/>
        </w:rPr>
        <w:t xml:space="preserve">enovación de </w:t>
      </w:r>
      <w:r>
        <w:rPr>
          <w:rFonts w:ascii="Century Gothic" w:hAnsi="Century Gothic"/>
          <w:b/>
          <w:bCs/>
        </w:rPr>
        <w:t>una v</w:t>
      </w:r>
      <w:r w:rsidRPr="00547BCB">
        <w:rPr>
          <w:rFonts w:ascii="Century Gothic" w:hAnsi="Century Gothic"/>
          <w:b/>
          <w:bCs/>
        </w:rPr>
        <w:t xml:space="preserve">alidación </w:t>
      </w:r>
      <w:r>
        <w:rPr>
          <w:rFonts w:ascii="Century Gothic" w:hAnsi="Century Gothic"/>
          <w:b/>
          <w:bCs/>
        </w:rPr>
        <w:t>t</w:t>
      </w:r>
      <w:r w:rsidRPr="00547BCB">
        <w:rPr>
          <w:rFonts w:ascii="Century Gothic" w:hAnsi="Century Gothic"/>
          <w:b/>
          <w:bCs/>
        </w:rPr>
        <w:t xml:space="preserve">écnica para </w:t>
      </w:r>
      <w:r>
        <w:rPr>
          <w:rFonts w:ascii="Century Gothic" w:hAnsi="Century Gothic"/>
          <w:b/>
          <w:bCs/>
        </w:rPr>
        <w:t>o</w:t>
      </w:r>
      <w:r w:rsidRPr="00547BCB">
        <w:rPr>
          <w:rFonts w:ascii="Century Gothic" w:hAnsi="Century Gothic"/>
          <w:b/>
          <w:bCs/>
        </w:rPr>
        <w:t xml:space="preserve">peraciones </w:t>
      </w:r>
      <w:r>
        <w:rPr>
          <w:rFonts w:ascii="Century Gothic" w:hAnsi="Century Gothic"/>
          <w:b/>
          <w:bCs/>
        </w:rPr>
        <w:t>de s</w:t>
      </w:r>
      <w:r w:rsidRPr="00547BCB">
        <w:rPr>
          <w:rFonts w:ascii="Century Gothic" w:hAnsi="Century Gothic"/>
          <w:b/>
          <w:bCs/>
        </w:rPr>
        <w:t xml:space="preserve">uministro de GNL Buque a Buque (STS) </w:t>
      </w:r>
    </w:p>
    <w:p w14:paraId="5FCC31B8" w14:textId="003F01AE" w:rsidR="00516C40" w:rsidRPr="00516C40" w:rsidRDefault="003457E7" w:rsidP="00913D58">
      <w:pPr>
        <w:ind w:left="142"/>
        <w:jc w:val="both"/>
        <w:rPr>
          <w:rFonts w:ascii="Century Gothic" w:hAnsi="Century Gothic"/>
        </w:rPr>
      </w:pPr>
      <w:r w:rsidRPr="00547BCB">
        <w:rPr>
          <w:rFonts w:ascii="Century Gothic" w:hAnsi="Century Gothic"/>
        </w:rPr>
        <w:t xml:space="preserve">3.1. </w:t>
      </w:r>
      <w:r w:rsidR="00516C40" w:rsidRPr="00516C40">
        <w:rPr>
          <w:rFonts w:ascii="Century Gothic" w:hAnsi="Century Gothic"/>
        </w:rPr>
        <w:t>El autorizado podrá solicitar una revisión de</w:t>
      </w:r>
      <w:r w:rsidR="00913D58">
        <w:rPr>
          <w:rFonts w:ascii="Century Gothic" w:hAnsi="Century Gothic"/>
        </w:rPr>
        <w:t xml:space="preserve"> la</w:t>
      </w:r>
      <w:r w:rsidR="00516C40" w:rsidRPr="00516C40">
        <w:rPr>
          <w:rFonts w:ascii="Century Gothic" w:hAnsi="Century Gothic"/>
        </w:rPr>
        <w:t xml:space="preserve"> validación técnica por cualquier variación de las condiciones del servicio como, por ejemplo</w:t>
      </w:r>
      <w:r w:rsidR="00913D58">
        <w:rPr>
          <w:rFonts w:ascii="Century Gothic" w:hAnsi="Century Gothic"/>
        </w:rPr>
        <w:t>,</w:t>
      </w:r>
      <w:r w:rsidR="00516C40" w:rsidRPr="00516C40">
        <w:rPr>
          <w:rFonts w:ascii="Century Gothic" w:hAnsi="Century Gothic"/>
        </w:rPr>
        <w:t xml:space="preserve"> </w:t>
      </w:r>
      <w:r w:rsidR="00913D58">
        <w:rPr>
          <w:rFonts w:ascii="Century Gothic" w:hAnsi="Century Gothic"/>
        </w:rPr>
        <w:t>i</w:t>
      </w:r>
      <w:r w:rsidR="00516C40" w:rsidRPr="00516C40">
        <w:rPr>
          <w:rFonts w:ascii="Century Gothic" w:hAnsi="Century Gothic"/>
        </w:rPr>
        <w:t>ncorporación de un nuevo buque suministrador, ampliación de</w:t>
      </w:r>
      <w:r w:rsidR="00752FE8">
        <w:rPr>
          <w:rFonts w:ascii="Century Gothic" w:hAnsi="Century Gothic"/>
        </w:rPr>
        <w:t xml:space="preserve"> los</w:t>
      </w:r>
      <w:r w:rsidR="00516C40" w:rsidRPr="00516C40">
        <w:rPr>
          <w:rFonts w:ascii="Century Gothic" w:hAnsi="Century Gothic"/>
        </w:rPr>
        <w:t xml:space="preserve"> tipo</w:t>
      </w:r>
      <w:r w:rsidR="00752FE8">
        <w:rPr>
          <w:rFonts w:ascii="Century Gothic" w:hAnsi="Century Gothic"/>
        </w:rPr>
        <w:t>s</w:t>
      </w:r>
      <w:r w:rsidR="00516C40" w:rsidRPr="00516C40">
        <w:rPr>
          <w:rFonts w:ascii="Century Gothic" w:hAnsi="Century Gothic"/>
        </w:rPr>
        <w:t xml:space="preserve"> de buques receptores, ampliación a nuevos muelles o zonas del puerto, cambio en condiciones de operaciones simultáneas (SIMOPS), cambios en el buque suministrador (cambio de propietario o de compañía ISM, obras de reforma o similares).</w:t>
      </w:r>
    </w:p>
    <w:p w14:paraId="63C6EEF0" w14:textId="290B1545" w:rsidR="00516C40" w:rsidRDefault="00516C40" w:rsidP="00516C40">
      <w:pPr>
        <w:ind w:left="142"/>
        <w:jc w:val="both"/>
        <w:rPr>
          <w:rFonts w:ascii="Century Gothic" w:hAnsi="Century Gothic"/>
        </w:rPr>
      </w:pPr>
      <w:r w:rsidRPr="00516C40">
        <w:rPr>
          <w:rFonts w:ascii="Century Gothic" w:hAnsi="Century Gothic"/>
        </w:rPr>
        <w:t xml:space="preserve">Se realizará un nuevo estudio de validación con las nuevas condiciones propuestas por el </w:t>
      </w:r>
      <w:r w:rsidR="00913D58">
        <w:rPr>
          <w:rFonts w:ascii="Century Gothic" w:hAnsi="Century Gothic"/>
        </w:rPr>
        <w:t>prestador</w:t>
      </w:r>
      <w:r w:rsidRPr="00516C40">
        <w:rPr>
          <w:rFonts w:ascii="Century Gothic" w:hAnsi="Century Gothic"/>
        </w:rPr>
        <w:t xml:space="preserve"> y su resultado se </w:t>
      </w:r>
      <w:r>
        <w:rPr>
          <w:rFonts w:ascii="Century Gothic" w:hAnsi="Century Gothic"/>
        </w:rPr>
        <w:t>asociará a</w:t>
      </w:r>
      <w:r w:rsidRPr="00516C40">
        <w:rPr>
          <w:rFonts w:ascii="Century Gothic" w:hAnsi="Century Gothic"/>
        </w:rPr>
        <w:t xml:space="preserve"> </w:t>
      </w:r>
      <w:r w:rsidR="00913D58">
        <w:rPr>
          <w:rFonts w:ascii="Century Gothic" w:hAnsi="Century Gothic"/>
        </w:rPr>
        <w:t>su correspondiente</w:t>
      </w:r>
      <w:r w:rsidRPr="00516C40">
        <w:rPr>
          <w:rFonts w:ascii="Century Gothic" w:hAnsi="Century Gothic"/>
        </w:rPr>
        <w:t xml:space="preserve"> autorización de servicio comercial (título habilitante</w:t>
      </w:r>
      <w:r>
        <w:rPr>
          <w:rFonts w:ascii="Century Gothic" w:hAnsi="Century Gothic"/>
        </w:rPr>
        <w:t>).</w:t>
      </w:r>
    </w:p>
    <w:p w14:paraId="05A018F8" w14:textId="22F8F6EF" w:rsidR="003457E7" w:rsidRPr="00547BCB" w:rsidRDefault="00516C40" w:rsidP="003457E7">
      <w:pPr>
        <w:ind w:left="142"/>
        <w:jc w:val="both"/>
        <w:rPr>
          <w:rFonts w:ascii="Century Gothic" w:hAnsi="Century Gothic"/>
        </w:rPr>
      </w:pPr>
      <w:r>
        <w:rPr>
          <w:rFonts w:ascii="Century Gothic" w:hAnsi="Century Gothic"/>
        </w:rPr>
        <w:t xml:space="preserve">3.2 </w:t>
      </w:r>
      <w:r w:rsidR="003457E7" w:rsidRPr="00547BCB">
        <w:rPr>
          <w:rFonts w:ascii="Century Gothic" w:hAnsi="Century Gothic"/>
        </w:rPr>
        <w:t xml:space="preserve">La solicitud de renovación de </w:t>
      </w:r>
      <w:r w:rsidR="003457E7">
        <w:rPr>
          <w:rFonts w:ascii="Century Gothic" w:hAnsi="Century Gothic"/>
        </w:rPr>
        <w:t>una</w:t>
      </w:r>
      <w:r w:rsidR="003457E7" w:rsidRPr="00547BCB">
        <w:rPr>
          <w:rFonts w:ascii="Century Gothic" w:hAnsi="Century Gothic"/>
        </w:rPr>
        <w:t xml:space="preserve"> </w:t>
      </w:r>
      <w:r w:rsidR="003457E7">
        <w:rPr>
          <w:rFonts w:ascii="Century Gothic" w:hAnsi="Century Gothic"/>
        </w:rPr>
        <w:t>v</w:t>
      </w:r>
      <w:r w:rsidR="003457E7" w:rsidRPr="00547BCB">
        <w:rPr>
          <w:rFonts w:ascii="Century Gothic" w:hAnsi="Century Gothic"/>
        </w:rPr>
        <w:t xml:space="preserve">alidación </w:t>
      </w:r>
      <w:r w:rsidR="003457E7">
        <w:rPr>
          <w:rFonts w:ascii="Century Gothic" w:hAnsi="Century Gothic"/>
        </w:rPr>
        <w:t>t</w:t>
      </w:r>
      <w:r w:rsidR="003457E7" w:rsidRPr="00547BCB">
        <w:rPr>
          <w:rFonts w:ascii="Century Gothic" w:hAnsi="Century Gothic"/>
        </w:rPr>
        <w:t xml:space="preserve">écnica será solicitada en el trimestre anterior a </w:t>
      </w:r>
      <w:r w:rsidR="003457E7">
        <w:rPr>
          <w:rFonts w:ascii="Century Gothic" w:hAnsi="Century Gothic"/>
        </w:rPr>
        <w:t>su</w:t>
      </w:r>
      <w:r w:rsidR="003457E7" w:rsidRPr="00547BCB">
        <w:rPr>
          <w:rFonts w:ascii="Century Gothic" w:hAnsi="Century Gothic"/>
        </w:rPr>
        <w:t xml:space="preserve"> fecha de expiración</w:t>
      </w:r>
      <w:r w:rsidR="003457E7">
        <w:rPr>
          <w:rFonts w:ascii="Century Gothic" w:hAnsi="Century Gothic"/>
        </w:rPr>
        <w:t>.</w:t>
      </w:r>
      <w:r w:rsidR="003457E7" w:rsidRPr="00547BCB">
        <w:rPr>
          <w:rFonts w:ascii="Century Gothic" w:hAnsi="Century Gothic"/>
        </w:rPr>
        <w:t xml:space="preserve"> En esta solicitud, si no hay cambios respecto a la </w:t>
      </w:r>
      <w:r w:rsidR="003457E7">
        <w:rPr>
          <w:rFonts w:ascii="Century Gothic" w:hAnsi="Century Gothic"/>
        </w:rPr>
        <w:t>v</w:t>
      </w:r>
      <w:r w:rsidR="003457E7" w:rsidRPr="00547BCB">
        <w:rPr>
          <w:rFonts w:ascii="Century Gothic" w:hAnsi="Century Gothic"/>
        </w:rPr>
        <w:t xml:space="preserve">alidación </w:t>
      </w:r>
      <w:r w:rsidR="003457E7">
        <w:rPr>
          <w:rFonts w:ascii="Century Gothic" w:hAnsi="Century Gothic"/>
        </w:rPr>
        <w:t>t</w:t>
      </w:r>
      <w:r w:rsidR="003457E7" w:rsidRPr="00547BCB">
        <w:rPr>
          <w:rFonts w:ascii="Century Gothic" w:hAnsi="Century Gothic"/>
        </w:rPr>
        <w:t xml:space="preserve">écnica inicial, se indicará que los requisitos y documentos siguen siendo válidos y vigentes. En caso de que alguno de los requisitos o documentación deba ser renovada, se indicará en la solicitud y se presentará por </w:t>
      </w:r>
      <w:r w:rsidR="003457E7" w:rsidRPr="00516C40">
        <w:rPr>
          <w:rFonts w:ascii="Century Gothic" w:hAnsi="Century Gothic"/>
        </w:rPr>
        <w:t xml:space="preserve">Registro o la plataforma electrónica que habilite la Autoridad Portuaria la </w:t>
      </w:r>
      <w:r w:rsidR="003457E7" w:rsidRPr="00547BCB">
        <w:rPr>
          <w:rFonts w:ascii="Century Gothic" w:hAnsi="Century Gothic"/>
        </w:rPr>
        <w:t>documentación a renovar.</w:t>
      </w:r>
    </w:p>
    <w:p w14:paraId="69EA8708" w14:textId="17285D14" w:rsidR="003457E7" w:rsidRPr="00547BCB" w:rsidRDefault="003457E7" w:rsidP="003457E7">
      <w:pPr>
        <w:ind w:left="142"/>
        <w:jc w:val="both"/>
        <w:rPr>
          <w:rFonts w:ascii="Century Gothic" w:hAnsi="Century Gothic"/>
        </w:rPr>
      </w:pPr>
      <w:r w:rsidRPr="00547BCB">
        <w:rPr>
          <w:rFonts w:ascii="Century Gothic" w:hAnsi="Century Gothic"/>
        </w:rPr>
        <w:t>3.</w:t>
      </w:r>
      <w:r w:rsidR="00516C40">
        <w:rPr>
          <w:rFonts w:ascii="Century Gothic" w:hAnsi="Century Gothic"/>
        </w:rPr>
        <w:t>3</w:t>
      </w:r>
      <w:r w:rsidRPr="00547BCB">
        <w:rPr>
          <w:rFonts w:ascii="Century Gothic" w:hAnsi="Century Gothic"/>
        </w:rPr>
        <w:t xml:space="preserve">. Se seguirá el mismo procedimiento que en la tramitación del expediente de </w:t>
      </w:r>
      <w:r>
        <w:rPr>
          <w:rFonts w:ascii="Century Gothic" w:hAnsi="Century Gothic"/>
        </w:rPr>
        <w:t>v</w:t>
      </w:r>
      <w:r w:rsidRPr="00547BCB">
        <w:rPr>
          <w:rFonts w:ascii="Century Gothic" w:hAnsi="Century Gothic"/>
        </w:rPr>
        <w:t xml:space="preserve">alidación </w:t>
      </w:r>
      <w:r>
        <w:rPr>
          <w:rFonts w:ascii="Century Gothic" w:hAnsi="Century Gothic"/>
        </w:rPr>
        <w:t>t</w:t>
      </w:r>
      <w:r w:rsidRPr="00547BCB">
        <w:rPr>
          <w:rFonts w:ascii="Century Gothic" w:hAnsi="Century Gothic"/>
        </w:rPr>
        <w:t>écnica</w:t>
      </w:r>
      <w:r w:rsidR="0044137E">
        <w:rPr>
          <w:rFonts w:ascii="Century Gothic" w:hAnsi="Century Gothic"/>
        </w:rPr>
        <w:t xml:space="preserve"> del apartado 2. Anterior, incluyendo</w:t>
      </w:r>
      <w:r w:rsidRPr="00547BCB">
        <w:rPr>
          <w:rFonts w:ascii="Century Gothic" w:hAnsi="Century Gothic"/>
        </w:rPr>
        <w:t xml:space="preserve"> la petición de informes </w:t>
      </w:r>
      <w:r w:rsidR="0044137E">
        <w:rPr>
          <w:rFonts w:ascii="Century Gothic" w:hAnsi="Century Gothic"/>
        </w:rPr>
        <w:t>a la Capitanía Marítima</w:t>
      </w:r>
      <w:r>
        <w:rPr>
          <w:rFonts w:ascii="Century Gothic" w:hAnsi="Century Gothic"/>
        </w:rPr>
        <w:t>, tras la cual la</w:t>
      </w:r>
      <w:r w:rsidRPr="00547BCB">
        <w:rPr>
          <w:rFonts w:ascii="Century Gothic" w:hAnsi="Century Gothic"/>
        </w:rPr>
        <w:t xml:space="preserve"> Autoridad Portuaria emitirá la </w:t>
      </w:r>
      <w:r w:rsidRPr="00613A6F">
        <w:rPr>
          <w:rFonts w:ascii="Century Gothic" w:hAnsi="Century Gothic"/>
        </w:rPr>
        <w:t xml:space="preserve">resolución correspondiente y la notificará </w:t>
      </w:r>
      <w:r w:rsidRPr="00547BCB">
        <w:rPr>
          <w:rFonts w:ascii="Century Gothic" w:hAnsi="Century Gothic"/>
        </w:rPr>
        <w:t>al solicitante.</w:t>
      </w:r>
    </w:p>
    <w:p w14:paraId="100287B9" w14:textId="15099AEB" w:rsidR="003457E7" w:rsidRDefault="003457E7" w:rsidP="003457E7">
      <w:pPr>
        <w:ind w:left="142"/>
        <w:jc w:val="both"/>
        <w:rPr>
          <w:rFonts w:ascii="Century Gothic" w:hAnsi="Century Gothic"/>
        </w:rPr>
      </w:pPr>
      <w:r w:rsidRPr="00547BCB">
        <w:rPr>
          <w:rFonts w:ascii="Century Gothic" w:hAnsi="Century Gothic"/>
        </w:rPr>
        <w:lastRenderedPageBreak/>
        <w:t>3.</w:t>
      </w:r>
      <w:r w:rsidR="00516C40">
        <w:rPr>
          <w:rFonts w:ascii="Century Gothic" w:hAnsi="Century Gothic"/>
        </w:rPr>
        <w:t>4</w:t>
      </w:r>
      <w:r w:rsidRPr="00547BCB">
        <w:rPr>
          <w:rFonts w:ascii="Century Gothic" w:hAnsi="Century Gothic"/>
        </w:rPr>
        <w:t xml:space="preserve">. La </w:t>
      </w:r>
      <w:r>
        <w:rPr>
          <w:rFonts w:ascii="Century Gothic" w:hAnsi="Century Gothic"/>
        </w:rPr>
        <w:t>v</w:t>
      </w:r>
      <w:r w:rsidRPr="00547BCB">
        <w:rPr>
          <w:rFonts w:ascii="Century Gothic" w:hAnsi="Century Gothic"/>
        </w:rPr>
        <w:t xml:space="preserve">alidación </w:t>
      </w:r>
      <w:r>
        <w:rPr>
          <w:rFonts w:ascii="Century Gothic" w:hAnsi="Century Gothic"/>
        </w:rPr>
        <w:t>t</w:t>
      </w:r>
      <w:r w:rsidRPr="00547BCB">
        <w:rPr>
          <w:rFonts w:ascii="Century Gothic" w:hAnsi="Century Gothic"/>
        </w:rPr>
        <w:t xml:space="preserve">écnica </w:t>
      </w:r>
      <w:r>
        <w:rPr>
          <w:rFonts w:ascii="Century Gothic" w:hAnsi="Century Gothic"/>
        </w:rPr>
        <w:t>podrá</w:t>
      </w:r>
      <w:r w:rsidRPr="00547BCB">
        <w:rPr>
          <w:rFonts w:ascii="Century Gothic" w:hAnsi="Century Gothic"/>
        </w:rPr>
        <w:t xml:space="preserve"> renovar</w:t>
      </w:r>
      <w:r>
        <w:rPr>
          <w:rFonts w:ascii="Century Gothic" w:hAnsi="Century Gothic"/>
        </w:rPr>
        <w:t xml:space="preserve">se </w:t>
      </w:r>
      <w:r w:rsidRPr="00547BCB">
        <w:rPr>
          <w:rFonts w:ascii="Century Gothic" w:hAnsi="Century Gothic"/>
        </w:rPr>
        <w:t xml:space="preserve">por un periodo máximo de </w:t>
      </w:r>
      <w:r w:rsidRPr="00547BCB">
        <w:rPr>
          <w:rFonts w:ascii="Century Gothic" w:hAnsi="Century Gothic"/>
          <w:color w:val="EE0000"/>
        </w:rPr>
        <w:t xml:space="preserve">6 </w:t>
      </w:r>
      <w:r w:rsidRPr="00613A6F">
        <w:rPr>
          <w:rFonts w:ascii="Century Gothic" w:hAnsi="Century Gothic"/>
        </w:rPr>
        <w:t>años.</w:t>
      </w:r>
    </w:p>
    <w:p w14:paraId="6F0F24CF" w14:textId="77777777" w:rsidR="002D6EFE" w:rsidRPr="00547BCB" w:rsidRDefault="002D6EFE" w:rsidP="003457E7">
      <w:pPr>
        <w:ind w:left="142"/>
        <w:jc w:val="both"/>
        <w:rPr>
          <w:rFonts w:ascii="Century Gothic" w:hAnsi="Century Gothic"/>
        </w:rPr>
      </w:pPr>
    </w:p>
    <w:p w14:paraId="4C1D701D" w14:textId="77777777" w:rsidR="003457E7" w:rsidRPr="00547BCB" w:rsidRDefault="003457E7" w:rsidP="006965D8">
      <w:pPr>
        <w:pStyle w:val="Prrafodelista"/>
        <w:numPr>
          <w:ilvl w:val="0"/>
          <w:numId w:val="18"/>
        </w:numPr>
        <w:spacing w:line="278" w:lineRule="auto"/>
        <w:jc w:val="both"/>
        <w:rPr>
          <w:rFonts w:ascii="Century Gothic" w:hAnsi="Century Gothic"/>
          <w:b/>
          <w:bCs/>
        </w:rPr>
      </w:pPr>
      <w:r w:rsidRPr="00547BCB">
        <w:rPr>
          <w:rFonts w:ascii="Century Gothic" w:hAnsi="Century Gothic"/>
          <w:b/>
          <w:bCs/>
        </w:rPr>
        <w:t xml:space="preserve">Procedimiento de Notificación de Operaciones de Suministro de GNL Buque a Buque (STS) </w:t>
      </w:r>
    </w:p>
    <w:p w14:paraId="2062F34F" w14:textId="4CC4A2F7" w:rsidR="003457E7" w:rsidRDefault="003457E7" w:rsidP="00DC11F1">
      <w:pPr>
        <w:spacing w:line="276" w:lineRule="auto"/>
        <w:jc w:val="both"/>
        <w:rPr>
          <w:rFonts w:ascii="Century Gothic" w:hAnsi="Century Gothic"/>
        </w:rPr>
      </w:pPr>
      <w:r w:rsidRPr="0099142F">
        <w:rPr>
          <w:rFonts w:ascii="Century Gothic" w:hAnsi="Century Gothic"/>
        </w:rPr>
        <w:t xml:space="preserve">Con carácter previo a la realización de cualquier operación física de suministro, el </w:t>
      </w:r>
      <w:r w:rsidR="00856C49">
        <w:rPr>
          <w:rFonts w:ascii="Century Gothic" w:hAnsi="Century Gothic"/>
        </w:rPr>
        <w:t>prestador</w:t>
      </w:r>
      <w:r w:rsidRPr="0099142F">
        <w:rPr>
          <w:rFonts w:ascii="Century Gothic" w:hAnsi="Century Gothic"/>
        </w:rPr>
        <w:t xml:space="preserve"> deberá disponer de una </w:t>
      </w:r>
      <w:r>
        <w:rPr>
          <w:rFonts w:ascii="Century Gothic" w:hAnsi="Century Gothic"/>
        </w:rPr>
        <w:t>a</w:t>
      </w:r>
      <w:r w:rsidRPr="0099142F">
        <w:rPr>
          <w:rFonts w:ascii="Century Gothic" w:hAnsi="Century Gothic"/>
        </w:rPr>
        <w:t xml:space="preserve">utorización (título habilitante) y una </w:t>
      </w:r>
      <w:r>
        <w:rPr>
          <w:rFonts w:ascii="Century Gothic" w:hAnsi="Century Gothic"/>
        </w:rPr>
        <w:t>v</w:t>
      </w:r>
      <w:r w:rsidRPr="0099142F">
        <w:rPr>
          <w:rFonts w:ascii="Century Gothic" w:hAnsi="Century Gothic"/>
        </w:rPr>
        <w:t xml:space="preserve">alidación </w:t>
      </w:r>
      <w:r>
        <w:rPr>
          <w:rFonts w:ascii="Century Gothic" w:hAnsi="Century Gothic"/>
        </w:rPr>
        <w:t>t</w:t>
      </w:r>
      <w:r w:rsidRPr="0099142F">
        <w:rPr>
          <w:rFonts w:ascii="Century Gothic" w:hAnsi="Century Gothic"/>
        </w:rPr>
        <w:t xml:space="preserve">écnica válida para la operación a efectuar. La operación deberá en todo caso ajustarse a las condiciones establecidas en el documento de </w:t>
      </w:r>
      <w:r>
        <w:rPr>
          <w:rFonts w:ascii="Century Gothic" w:hAnsi="Century Gothic"/>
        </w:rPr>
        <w:t>v</w:t>
      </w:r>
      <w:r w:rsidRPr="0099142F">
        <w:rPr>
          <w:rFonts w:ascii="Century Gothic" w:hAnsi="Century Gothic"/>
        </w:rPr>
        <w:t xml:space="preserve">alidación </w:t>
      </w:r>
      <w:r>
        <w:rPr>
          <w:rFonts w:ascii="Century Gothic" w:hAnsi="Century Gothic"/>
        </w:rPr>
        <w:t>t</w:t>
      </w:r>
      <w:r w:rsidRPr="0099142F">
        <w:rPr>
          <w:rFonts w:ascii="Century Gothic" w:hAnsi="Century Gothic"/>
        </w:rPr>
        <w:t>écnica.</w:t>
      </w:r>
    </w:p>
    <w:p w14:paraId="24EB5B64" w14:textId="5179D4DD" w:rsidR="003457E7" w:rsidRPr="0047450D" w:rsidRDefault="003457E7" w:rsidP="00067DA6">
      <w:pPr>
        <w:spacing w:line="276" w:lineRule="auto"/>
        <w:jc w:val="both"/>
        <w:rPr>
          <w:rFonts w:ascii="Century Gothic" w:hAnsi="Century Gothic"/>
          <w:b/>
          <w:bCs/>
        </w:rPr>
      </w:pPr>
      <w:r>
        <w:rPr>
          <w:rFonts w:ascii="Century Gothic" w:hAnsi="Century Gothic"/>
        </w:rPr>
        <w:t>F</w:t>
      </w:r>
      <w:r w:rsidRPr="003E415B">
        <w:rPr>
          <w:rFonts w:ascii="Century Gothic" w:hAnsi="Century Gothic"/>
        </w:rPr>
        <w:t xml:space="preserve">inalmente, con una antelación mínima de </w:t>
      </w:r>
      <w:r w:rsidRPr="00AB2B9F">
        <w:rPr>
          <w:rFonts w:ascii="Century Gothic" w:hAnsi="Century Gothic"/>
          <w:color w:val="ED0000"/>
        </w:rPr>
        <w:t xml:space="preserve">24 horas </w:t>
      </w:r>
      <w:r w:rsidRPr="003E415B">
        <w:rPr>
          <w:rFonts w:ascii="Century Gothic" w:hAnsi="Century Gothic"/>
        </w:rPr>
        <w:t xml:space="preserve">antes de la operativa, el </w:t>
      </w:r>
      <w:r w:rsidR="00856C49">
        <w:rPr>
          <w:rFonts w:ascii="Century Gothic" w:hAnsi="Century Gothic"/>
        </w:rPr>
        <w:t>prestador</w:t>
      </w:r>
      <w:r w:rsidRPr="003E415B">
        <w:rPr>
          <w:rFonts w:ascii="Century Gothic" w:hAnsi="Century Gothic"/>
        </w:rPr>
        <w:t xml:space="preserve"> notificará al centro de control y a todas las partes implicadas su intención de realizar la operación física de suministro, aportando la documentación </w:t>
      </w:r>
      <w:r w:rsidR="00433FFA">
        <w:rPr>
          <w:rFonts w:ascii="Century Gothic" w:hAnsi="Century Gothic"/>
        </w:rPr>
        <w:t xml:space="preserve">recogida en el </w:t>
      </w:r>
      <w:r w:rsidR="009C233E">
        <w:rPr>
          <w:rFonts w:ascii="Century Gothic" w:hAnsi="Century Gothic"/>
        </w:rPr>
        <w:t>A</w:t>
      </w:r>
      <w:r w:rsidR="009C233E" w:rsidRPr="003E415B">
        <w:rPr>
          <w:rFonts w:ascii="Century Gothic" w:hAnsi="Century Gothic"/>
        </w:rPr>
        <w:t>nexo</w:t>
      </w:r>
      <w:r w:rsidR="009C233E">
        <w:rPr>
          <w:rFonts w:ascii="Century Gothic" w:hAnsi="Century Gothic"/>
        </w:rPr>
        <w:t xml:space="preserve"> II-</w:t>
      </w:r>
      <w:r w:rsidR="009C233E" w:rsidRPr="0047450D">
        <w:rPr>
          <w:rFonts w:ascii="Century Gothic" w:hAnsi="Century Gothic"/>
        </w:rPr>
        <w:t>modalidad STS</w:t>
      </w:r>
      <w:r w:rsidR="00DC11F1" w:rsidRPr="0047450D">
        <w:rPr>
          <w:rFonts w:ascii="Century Gothic" w:hAnsi="Century Gothic"/>
        </w:rPr>
        <w:t xml:space="preserve"> del presente PCP en su</w:t>
      </w:r>
      <w:r w:rsidR="009C233E" w:rsidRPr="0047450D">
        <w:rPr>
          <w:rFonts w:ascii="Century Gothic" w:hAnsi="Century Gothic"/>
        </w:rPr>
        <w:t xml:space="preserve"> </w:t>
      </w:r>
      <w:r w:rsidR="00433FFA" w:rsidRPr="0047450D">
        <w:rPr>
          <w:rFonts w:ascii="Century Gothic" w:hAnsi="Century Gothic"/>
        </w:rPr>
        <w:t xml:space="preserve">apartado 3. </w:t>
      </w:r>
      <w:r w:rsidR="00A81187" w:rsidRPr="0047450D">
        <w:rPr>
          <w:rFonts w:ascii="Century Gothic" w:hAnsi="Century Gothic"/>
        </w:rPr>
        <w:t xml:space="preserve">Documentación para la </w:t>
      </w:r>
      <w:r w:rsidR="00433FFA" w:rsidRPr="0047450D">
        <w:rPr>
          <w:rFonts w:ascii="Century Gothic" w:hAnsi="Century Gothic"/>
        </w:rPr>
        <w:t xml:space="preserve">Notificación </w:t>
      </w:r>
      <w:r w:rsidR="00A81187" w:rsidRPr="0047450D">
        <w:rPr>
          <w:rFonts w:ascii="Century Gothic" w:hAnsi="Century Gothic"/>
        </w:rPr>
        <w:t>previa a cada</w:t>
      </w:r>
      <w:r w:rsidR="00433FFA" w:rsidRPr="0047450D">
        <w:rPr>
          <w:rFonts w:ascii="Century Gothic" w:hAnsi="Century Gothic"/>
        </w:rPr>
        <w:t xml:space="preserve"> operación</w:t>
      </w:r>
      <w:r w:rsidR="009C233E" w:rsidRPr="0047450D">
        <w:rPr>
          <w:rFonts w:ascii="Century Gothic" w:hAnsi="Century Gothic"/>
        </w:rPr>
        <w:t>.</w:t>
      </w:r>
    </w:p>
    <w:p w14:paraId="741DC1B9" w14:textId="7807C9DC" w:rsidR="003457E7" w:rsidRPr="0047450D" w:rsidRDefault="0047450D" w:rsidP="0047450D">
      <w:pPr>
        <w:ind w:firstLine="708"/>
        <w:jc w:val="both"/>
        <w:rPr>
          <w:rFonts w:ascii="Century Gothic" w:hAnsi="Century Gothic"/>
          <w:b/>
          <w:bCs/>
        </w:rPr>
      </w:pPr>
      <w:r w:rsidRPr="0047450D">
        <w:rPr>
          <w:rFonts w:ascii="Century Gothic" w:hAnsi="Century Gothic"/>
          <w:b/>
          <w:bCs/>
        </w:rPr>
        <w:t xml:space="preserve">5. </w:t>
      </w:r>
      <w:r w:rsidR="003457E7" w:rsidRPr="0047450D">
        <w:rPr>
          <w:rFonts w:ascii="Century Gothic" w:hAnsi="Century Gothic"/>
          <w:b/>
          <w:bCs/>
        </w:rPr>
        <w:t xml:space="preserve">Requisitos mínimos que ha de cumplir </w:t>
      </w:r>
      <w:r w:rsidR="006F5D6C">
        <w:rPr>
          <w:rFonts w:ascii="Century Gothic" w:hAnsi="Century Gothic"/>
          <w:b/>
          <w:bCs/>
        </w:rPr>
        <w:t>el prestador del servicio de suministro de</w:t>
      </w:r>
      <w:r w:rsidR="003457E7" w:rsidRPr="0047450D">
        <w:rPr>
          <w:rFonts w:ascii="Century Gothic" w:hAnsi="Century Gothic"/>
          <w:b/>
          <w:bCs/>
        </w:rPr>
        <w:t xml:space="preserve"> GNL</w:t>
      </w:r>
      <w:r w:rsidR="006F5D6C">
        <w:rPr>
          <w:rFonts w:ascii="Century Gothic" w:hAnsi="Century Gothic"/>
          <w:b/>
          <w:bCs/>
        </w:rPr>
        <w:t>-STS</w:t>
      </w:r>
      <w:r w:rsidR="003457E7" w:rsidRPr="0047450D">
        <w:rPr>
          <w:rFonts w:ascii="Century Gothic" w:hAnsi="Century Gothic"/>
          <w:b/>
          <w:bCs/>
        </w:rPr>
        <w:t xml:space="preserve"> para poder operar en el dominio </w:t>
      </w:r>
      <w:r w:rsidR="00BA0CC4" w:rsidRPr="0047450D">
        <w:rPr>
          <w:rFonts w:ascii="Century Gothic" w:hAnsi="Century Gothic"/>
          <w:b/>
          <w:bCs/>
        </w:rPr>
        <w:t>público</w:t>
      </w:r>
      <w:r w:rsidR="003457E7" w:rsidRPr="0047450D">
        <w:rPr>
          <w:rFonts w:ascii="Century Gothic" w:hAnsi="Century Gothic"/>
          <w:b/>
          <w:bCs/>
        </w:rPr>
        <w:t xml:space="preserve"> portuario </w:t>
      </w:r>
    </w:p>
    <w:p w14:paraId="349DD177" w14:textId="5DD7F927" w:rsidR="003457E7" w:rsidRPr="00547BCB" w:rsidRDefault="0047450D" w:rsidP="006F5D6C">
      <w:pPr>
        <w:autoSpaceDE w:val="0"/>
        <w:autoSpaceDN w:val="0"/>
        <w:adjustRightInd w:val="0"/>
        <w:spacing w:after="0" w:line="276" w:lineRule="auto"/>
        <w:jc w:val="both"/>
        <w:rPr>
          <w:rFonts w:ascii="Cambria" w:hAnsi="Cambria" w:cs="Cambria"/>
          <w:b/>
          <w:bCs/>
          <w:lang w:eastAsia="es-ES"/>
        </w:rPr>
      </w:pPr>
      <w:r w:rsidRPr="0047450D">
        <w:rPr>
          <w:rFonts w:ascii="Century Gothic" w:hAnsi="Century Gothic"/>
        </w:rPr>
        <w:t>Los requisitos técnicos del suministro</w:t>
      </w:r>
      <w:r>
        <w:rPr>
          <w:rFonts w:ascii="Century Gothic" w:hAnsi="Century Gothic"/>
        </w:rPr>
        <w:t xml:space="preserve"> </w:t>
      </w:r>
      <w:r w:rsidRPr="00547BCB">
        <w:rPr>
          <w:rFonts w:ascii="Century Gothic" w:hAnsi="Century Gothic"/>
        </w:rPr>
        <w:t>vienen regulados por las normas sectoriales</w:t>
      </w:r>
      <w:r w:rsidR="006F5D6C">
        <w:rPr>
          <w:rFonts w:ascii="Century Gothic" w:hAnsi="Century Gothic"/>
        </w:rPr>
        <w:t>,</w:t>
      </w:r>
      <w:r w:rsidRPr="00547BCB">
        <w:rPr>
          <w:rFonts w:ascii="Century Gothic" w:hAnsi="Century Gothic"/>
        </w:rPr>
        <w:t xml:space="preserve"> cuya aplicación debe quedar garantizada.</w:t>
      </w:r>
    </w:p>
    <w:p w14:paraId="443FFD67" w14:textId="1476CFAE" w:rsidR="003457E7" w:rsidRPr="00D8232F" w:rsidRDefault="003457E7" w:rsidP="006F5D6C">
      <w:pPr>
        <w:spacing w:line="276" w:lineRule="auto"/>
        <w:jc w:val="both"/>
        <w:rPr>
          <w:rFonts w:ascii="Century Gothic" w:hAnsi="Century Gothic"/>
          <w:color w:val="000000" w:themeColor="text1"/>
        </w:rPr>
      </w:pPr>
      <w:r w:rsidRPr="00547BCB">
        <w:rPr>
          <w:rFonts w:ascii="Century Gothic" w:hAnsi="Century Gothic" w:cs="Cambria"/>
          <w:lang w:eastAsia="es-ES"/>
        </w:rPr>
        <w:t xml:space="preserve">La Administración </w:t>
      </w:r>
      <w:r w:rsidR="00237892" w:rsidRPr="00547BCB">
        <w:rPr>
          <w:rFonts w:ascii="Century Gothic" w:hAnsi="Century Gothic" w:cs="Cambria"/>
          <w:lang w:eastAsia="es-ES"/>
        </w:rPr>
        <w:t>Portuaria</w:t>
      </w:r>
      <w:r w:rsidRPr="00547BCB">
        <w:rPr>
          <w:rFonts w:ascii="Century Gothic" w:hAnsi="Century Gothic" w:cs="Cambria"/>
          <w:lang w:eastAsia="es-ES"/>
        </w:rPr>
        <w:t xml:space="preserve"> e</w:t>
      </w:r>
      <w:r w:rsidRPr="0099142F">
        <w:rPr>
          <w:rFonts w:ascii="Century Gothic" w:hAnsi="Century Gothic"/>
        </w:rPr>
        <w:t>n consenso con la Administración Marítima establecen los siguientes criterios mínimos para operar en el dominio público portuario</w:t>
      </w:r>
      <w:r w:rsidRPr="00547BCB">
        <w:rPr>
          <w:rFonts w:ascii="Century Gothic" w:hAnsi="Century Gothic"/>
        </w:rPr>
        <w:t xml:space="preserve">. </w:t>
      </w:r>
      <w:r w:rsidRPr="00547BCB">
        <w:rPr>
          <w:rFonts w:ascii="Century Gothic" w:hAnsi="Century Gothic"/>
          <w:color w:val="000000" w:themeColor="text1"/>
        </w:rPr>
        <w:t>La Administración Marítima podrá establecer un plazo transitorio, durante el cual un buque que ya esté operando como medio material adscrito al servicio comercial de suministro y que no cumpla alguno de los requisitos establecidos en el apartado siguiente, pueda adecuarse a los mismos.</w:t>
      </w:r>
    </w:p>
    <w:p w14:paraId="65E93028" w14:textId="6A06B407" w:rsidR="003457E7" w:rsidRPr="0099142F" w:rsidRDefault="003457E7" w:rsidP="006965D8">
      <w:pPr>
        <w:pStyle w:val="Prrafodelista"/>
        <w:numPr>
          <w:ilvl w:val="0"/>
          <w:numId w:val="25"/>
        </w:numPr>
        <w:autoSpaceDE w:val="0"/>
        <w:autoSpaceDN w:val="0"/>
        <w:adjustRightInd w:val="0"/>
        <w:spacing w:after="0" w:line="288" w:lineRule="auto"/>
        <w:ind w:left="697" w:hanging="357"/>
        <w:jc w:val="both"/>
        <w:rPr>
          <w:rFonts w:ascii="Century Gothic" w:hAnsi="Century Gothic" w:cs="Cambria"/>
          <w:b/>
          <w:bCs/>
          <w:lang w:eastAsia="es-ES"/>
        </w:rPr>
      </w:pPr>
      <w:r w:rsidRPr="0099142F">
        <w:rPr>
          <w:rFonts w:ascii="Century Gothic" w:hAnsi="Century Gothic" w:cs="Cambria"/>
          <w:b/>
          <w:bCs/>
        </w:rPr>
        <w:t>Requisitos administrativos</w:t>
      </w:r>
    </w:p>
    <w:p w14:paraId="3DE96345" w14:textId="77777777" w:rsidR="003457E7" w:rsidRPr="0099142F" w:rsidRDefault="003457E7" w:rsidP="003457E7">
      <w:pPr>
        <w:autoSpaceDE w:val="0"/>
        <w:autoSpaceDN w:val="0"/>
        <w:adjustRightInd w:val="0"/>
        <w:spacing w:after="0" w:line="288" w:lineRule="auto"/>
        <w:rPr>
          <w:rFonts w:ascii="Century Gothic" w:hAnsi="Century Gothic" w:cs="Cambria"/>
          <w:b/>
          <w:bCs/>
          <w:lang w:eastAsia="es-ES"/>
        </w:rPr>
      </w:pPr>
    </w:p>
    <w:p w14:paraId="3D9227C2" w14:textId="77777777" w:rsidR="003457E7" w:rsidRPr="0099142F" w:rsidRDefault="003457E7" w:rsidP="006965D8">
      <w:pPr>
        <w:pStyle w:val="Prrafodelista"/>
        <w:numPr>
          <w:ilvl w:val="0"/>
          <w:numId w:val="23"/>
        </w:numPr>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r w:rsidRPr="0099142F">
        <w:rPr>
          <w:rFonts w:ascii="Century Gothic" w:hAnsi="Century Gothic"/>
          <w:color w:val="000000" w:themeColor="text1"/>
        </w:rPr>
        <w:t xml:space="preserve">EL buque conservará el </w:t>
      </w:r>
      <w:r w:rsidRPr="0099142F">
        <w:rPr>
          <w:rFonts w:ascii="Century Gothic" w:hAnsi="Century Gothic"/>
          <w:b/>
          <w:bCs/>
          <w:color w:val="000000" w:themeColor="text1"/>
        </w:rPr>
        <w:t xml:space="preserve">pabellón </w:t>
      </w:r>
      <w:r w:rsidRPr="0099142F">
        <w:rPr>
          <w:rFonts w:ascii="Century Gothic" w:hAnsi="Century Gothic"/>
          <w:color w:val="000000" w:themeColor="text1"/>
        </w:rPr>
        <w:t xml:space="preserve">de un Estado miembro del </w:t>
      </w:r>
      <w:r w:rsidRPr="0099142F">
        <w:rPr>
          <w:rFonts w:ascii="Century Gothic" w:hAnsi="Century Gothic"/>
          <w:b/>
          <w:bCs/>
          <w:color w:val="000000" w:themeColor="text1"/>
        </w:rPr>
        <w:t>Espacio Económico Europeo.</w:t>
      </w:r>
    </w:p>
    <w:p w14:paraId="2B0C0137" w14:textId="4FC61640" w:rsidR="003457E7" w:rsidRPr="0099142F" w:rsidRDefault="003457E7" w:rsidP="006965D8">
      <w:pPr>
        <w:pStyle w:val="Prrafodelista"/>
        <w:numPr>
          <w:ilvl w:val="0"/>
          <w:numId w:val="23"/>
        </w:numPr>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r w:rsidRPr="0099142F">
        <w:rPr>
          <w:rFonts w:ascii="Century Gothic" w:hAnsi="Century Gothic" w:cs="Arial"/>
          <w:color w:val="000000" w:themeColor="text1"/>
        </w:rPr>
        <w:t xml:space="preserve">EL buque de </w:t>
      </w:r>
      <w:r w:rsidR="00237892" w:rsidRPr="0099142F">
        <w:rPr>
          <w:rFonts w:ascii="Century Gothic" w:hAnsi="Century Gothic" w:cs="Arial"/>
          <w:color w:val="000000" w:themeColor="text1"/>
        </w:rPr>
        <w:t>suministro</w:t>
      </w:r>
      <w:r w:rsidRPr="0099142F">
        <w:rPr>
          <w:rFonts w:ascii="Century Gothic" w:hAnsi="Century Gothic" w:cs="Arial"/>
          <w:color w:val="000000" w:themeColor="text1"/>
        </w:rPr>
        <w:t xml:space="preserve"> est</w:t>
      </w:r>
      <w:r w:rsidR="007F1D0C">
        <w:rPr>
          <w:rFonts w:ascii="Century Gothic" w:hAnsi="Century Gothic" w:cs="Arial"/>
          <w:color w:val="000000" w:themeColor="text1"/>
        </w:rPr>
        <w:t>ará</w:t>
      </w:r>
      <w:r w:rsidRPr="0099142F">
        <w:rPr>
          <w:rFonts w:ascii="Century Gothic" w:hAnsi="Century Gothic" w:cs="Arial"/>
          <w:color w:val="000000" w:themeColor="text1"/>
        </w:rPr>
        <w:t xml:space="preserve"> sujeto a las inspecciones y controles previstos en el </w:t>
      </w:r>
      <w:r w:rsidRPr="0099142F">
        <w:rPr>
          <w:rFonts w:ascii="Century Gothic" w:hAnsi="Century Gothic" w:cs="Arial"/>
          <w:i/>
          <w:iCs/>
          <w:color w:val="000000" w:themeColor="text1"/>
        </w:rPr>
        <w:t>Reglamento de inspección y certificación de buques civiles, aprobado</w:t>
      </w:r>
      <w:r w:rsidR="00237892">
        <w:rPr>
          <w:rFonts w:ascii="Century Gothic" w:hAnsi="Century Gothic" w:cs="Arial"/>
          <w:i/>
          <w:iCs/>
          <w:color w:val="000000" w:themeColor="text1"/>
        </w:rPr>
        <w:t xml:space="preserve"> por el R</w:t>
      </w:r>
      <w:r w:rsidRPr="0099142F">
        <w:rPr>
          <w:rFonts w:ascii="Century Gothic" w:hAnsi="Century Gothic" w:cs="Arial"/>
          <w:color w:val="000000" w:themeColor="text1"/>
        </w:rPr>
        <w:t>eal Decreto 1837/2000, de 10 de noviembre</w:t>
      </w:r>
      <w:r w:rsidRPr="0099142F">
        <w:rPr>
          <w:rFonts w:ascii="Century Gothic" w:hAnsi="Century Gothic" w:cs="Arial"/>
          <w:i/>
          <w:iCs/>
          <w:color w:val="000000" w:themeColor="text1"/>
        </w:rPr>
        <w:t xml:space="preserve">, </w:t>
      </w:r>
      <w:r w:rsidRPr="0099142F">
        <w:rPr>
          <w:rFonts w:ascii="Century Gothic" w:hAnsi="Century Gothic" w:cs="Arial"/>
          <w:color w:val="000000" w:themeColor="text1"/>
        </w:rPr>
        <w:t xml:space="preserve">o por </w:t>
      </w:r>
      <w:r w:rsidRPr="0099142F">
        <w:rPr>
          <w:rFonts w:ascii="Century Gothic" w:hAnsi="Century Gothic" w:cs="Arial"/>
          <w:i/>
          <w:iCs/>
          <w:color w:val="000000" w:themeColor="text1"/>
        </w:rPr>
        <w:t xml:space="preserve">Reglamento por el que se regulan las inspecciones de buques extranjeros en puertos españoles, aprobado por </w:t>
      </w:r>
      <w:r w:rsidRPr="0099142F">
        <w:rPr>
          <w:rFonts w:ascii="Century Gothic" w:hAnsi="Century Gothic" w:cs="Arial"/>
          <w:color w:val="000000" w:themeColor="text1"/>
        </w:rPr>
        <w:t>el Real Decreto 1737/2010, de 23 de diciembre.</w:t>
      </w:r>
    </w:p>
    <w:p w14:paraId="06975641" w14:textId="77777777" w:rsidR="003457E7" w:rsidRPr="0099142F" w:rsidRDefault="003457E7" w:rsidP="006965D8">
      <w:pPr>
        <w:pStyle w:val="Prrafodelista"/>
        <w:numPr>
          <w:ilvl w:val="0"/>
          <w:numId w:val="23"/>
        </w:numPr>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r w:rsidRPr="0099142F">
        <w:rPr>
          <w:rFonts w:ascii="Century Gothic" w:hAnsi="Century Gothic" w:cs="Arial"/>
          <w:color w:val="000000" w:themeColor="text1"/>
        </w:rPr>
        <w:t xml:space="preserve">El buque de suministro antes de comenzar a operar deberá cumplir con el </w:t>
      </w:r>
      <w:r w:rsidRPr="0099142F">
        <w:rPr>
          <w:rFonts w:ascii="Century Gothic" w:hAnsi="Century Gothic" w:cs="Arial"/>
          <w:b/>
          <w:bCs/>
          <w:color w:val="000000" w:themeColor="text1"/>
        </w:rPr>
        <w:t>Reglamento de Ordenación de la Navegación Marítima, aprobado por el Real Decreto 186/2023, de 21 de marzo.</w:t>
      </w:r>
    </w:p>
    <w:p w14:paraId="29DCC10D" w14:textId="171B3187" w:rsidR="003457E7" w:rsidRPr="006E29B8" w:rsidRDefault="003457E7" w:rsidP="006965D8">
      <w:pPr>
        <w:pStyle w:val="Prrafodelista"/>
        <w:numPr>
          <w:ilvl w:val="0"/>
          <w:numId w:val="23"/>
        </w:numPr>
        <w:autoSpaceDE w:val="0"/>
        <w:autoSpaceDN w:val="0"/>
        <w:adjustRightInd w:val="0"/>
        <w:spacing w:after="0" w:line="288" w:lineRule="auto"/>
        <w:ind w:left="360" w:hanging="357"/>
        <w:jc w:val="both"/>
        <w:rPr>
          <w:rFonts w:ascii="Century Gothic" w:hAnsi="Century Gothic" w:cs="Cambria"/>
          <w:color w:val="000000" w:themeColor="text1"/>
        </w:rPr>
      </w:pPr>
      <w:r w:rsidRPr="00067DA6">
        <w:rPr>
          <w:rFonts w:ascii="Century Gothic" w:hAnsi="Century Gothic" w:cs="Arial"/>
          <w:color w:val="000000" w:themeColor="text1"/>
        </w:rPr>
        <w:t xml:space="preserve">Cuando el buque suministrador tenga concedida </w:t>
      </w:r>
      <w:r w:rsidRPr="00067DA6">
        <w:rPr>
          <w:rFonts w:ascii="Century Gothic" w:hAnsi="Century Gothic" w:cs="Arial"/>
          <w:b/>
          <w:bCs/>
          <w:color w:val="000000" w:themeColor="text1"/>
        </w:rPr>
        <w:t>alguna exención, dispensa o equivalencia</w:t>
      </w:r>
      <w:r w:rsidRPr="00067DA6">
        <w:rPr>
          <w:rFonts w:ascii="Century Gothic" w:hAnsi="Century Gothic" w:cs="Arial"/>
          <w:color w:val="000000" w:themeColor="text1"/>
        </w:rPr>
        <w:t xml:space="preserve">, de acuerdo con lo establecido en algún convenio internacional del que España sea Parte, y desee operar en un puerto español, la compañía ISM deberá primeramente comunicar los detalles y a continuación deberá obtener la aceptación previa de la Administración </w:t>
      </w:r>
      <w:r w:rsidR="007F1D0C">
        <w:rPr>
          <w:rFonts w:ascii="Century Gothic" w:hAnsi="Century Gothic" w:cs="Arial"/>
          <w:color w:val="000000" w:themeColor="text1"/>
        </w:rPr>
        <w:t>M</w:t>
      </w:r>
      <w:r w:rsidRPr="00067DA6">
        <w:rPr>
          <w:rFonts w:ascii="Century Gothic" w:hAnsi="Century Gothic" w:cs="Arial"/>
          <w:color w:val="000000" w:themeColor="text1"/>
        </w:rPr>
        <w:t xml:space="preserve">arítima española para </w:t>
      </w:r>
      <w:r w:rsidRPr="00067DA6">
        <w:rPr>
          <w:rFonts w:ascii="Century Gothic" w:hAnsi="Century Gothic" w:cs="Arial"/>
          <w:color w:val="000000" w:themeColor="text1"/>
        </w:rPr>
        <w:lastRenderedPageBreak/>
        <w:t>poder operar con esas exenciones, dispensas o equivalencias otorgadas por su Bandera.</w:t>
      </w:r>
    </w:p>
    <w:p w14:paraId="7CD1B243" w14:textId="77777777" w:rsidR="006E29B8" w:rsidRPr="006E29B8" w:rsidRDefault="006E29B8" w:rsidP="006E29B8">
      <w:pPr>
        <w:autoSpaceDE w:val="0"/>
        <w:autoSpaceDN w:val="0"/>
        <w:adjustRightInd w:val="0"/>
        <w:spacing w:after="0" w:line="288" w:lineRule="auto"/>
        <w:jc w:val="both"/>
        <w:rPr>
          <w:rFonts w:ascii="Century Gothic" w:hAnsi="Century Gothic" w:cs="Cambria"/>
          <w:color w:val="000000" w:themeColor="text1"/>
        </w:rPr>
      </w:pPr>
    </w:p>
    <w:p w14:paraId="14E6CD77" w14:textId="77777777" w:rsidR="003457E7" w:rsidRPr="0099142F" w:rsidRDefault="003457E7" w:rsidP="003457E7">
      <w:pPr>
        <w:pStyle w:val="Default"/>
        <w:spacing w:line="288" w:lineRule="auto"/>
        <w:ind w:left="360"/>
        <w:jc w:val="both"/>
        <w:rPr>
          <w:rFonts w:ascii="Century Gothic" w:hAnsi="Century Gothic" w:cs="Cambria"/>
          <w:b/>
          <w:bCs/>
          <w:color w:val="000000" w:themeColor="text1"/>
          <w:sz w:val="22"/>
          <w:szCs w:val="22"/>
        </w:rPr>
      </w:pPr>
      <w:r w:rsidRPr="0099142F">
        <w:rPr>
          <w:rFonts w:ascii="Century Gothic" w:hAnsi="Century Gothic" w:cs="Cambria"/>
          <w:b/>
          <w:bCs/>
          <w:color w:val="000000" w:themeColor="text1"/>
          <w:sz w:val="22"/>
          <w:szCs w:val="22"/>
        </w:rPr>
        <w:t>b.</w:t>
      </w:r>
      <w:r w:rsidRPr="0099142F">
        <w:rPr>
          <w:rFonts w:ascii="Century Gothic" w:hAnsi="Century Gothic" w:cs="Cambria"/>
          <w:b/>
          <w:bCs/>
          <w:color w:val="000000" w:themeColor="text1"/>
          <w:sz w:val="22"/>
          <w:szCs w:val="22"/>
        </w:rPr>
        <w:tab/>
        <w:t>Requisitos técnicos y documentales</w:t>
      </w:r>
    </w:p>
    <w:p w14:paraId="75651B7B" w14:textId="77777777" w:rsidR="003457E7" w:rsidRPr="0099142F" w:rsidRDefault="003457E7" w:rsidP="003457E7">
      <w:pPr>
        <w:pStyle w:val="Default"/>
        <w:spacing w:line="288" w:lineRule="auto"/>
        <w:jc w:val="both"/>
        <w:rPr>
          <w:rFonts w:ascii="Century Gothic" w:hAnsi="Century Gothic" w:cs="Cambria"/>
          <w:b/>
          <w:bCs/>
          <w:color w:val="000000" w:themeColor="text1"/>
          <w:sz w:val="22"/>
          <w:szCs w:val="22"/>
        </w:rPr>
      </w:pPr>
    </w:p>
    <w:p w14:paraId="120ECF87" w14:textId="619EB8B8" w:rsidR="003457E7" w:rsidRPr="00067DA6" w:rsidRDefault="003457E7" w:rsidP="006965D8">
      <w:pPr>
        <w:pStyle w:val="Default"/>
        <w:numPr>
          <w:ilvl w:val="6"/>
          <w:numId w:val="24"/>
        </w:numPr>
        <w:spacing w:line="288" w:lineRule="auto"/>
        <w:jc w:val="both"/>
        <w:rPr>
          <w:rFonts w:ascii="Century Gothic" w:hAnsi="Century Gothic" w:cs="Cambria"/>
          <w:color w:val="000000" w:themeColor="text1"/>
          <w:sz w:val="22"/>
          <w:szCs w:val="22"/>
        </w:rPr>
      </w:pPr>
      <w:r w:rsidRPr="00067DA6">
        <w:rPr>
          <w:rFonts w:ascii="Century Gothic" w:hAnsi="Century Gothic"/>
          <w:color w:val="000000" w:themeColor="text1"/>
          <w:sz w:val="22"/>
          <w:szCs w:val="22"/>
        </w:rPr>
        <w:t>El buque estará certificado conforme a los Instrumentos Internacionales de los que España es parte, habilitándole al tráfico internacional.</w:t>
      </w:r>
    </w:p>
    <w:p w14:paraId="5D3C31A0" w14:textId="347AA650" w:rsidR="003457E7" w:rsidRPr="0099142F" w:rsidRDefault="003457E7" w:rsidP="006965D8">
      <w:pPr>
        <w:pStyle w:val="Default"/>
        <w:numPr>
          <w:ilvl w:val="6"/>
          <w:numId w:val="24"/>
        </w:numPr>
        <w:spacing w:line="288" w:lineRule="auto"/>
        <w:jc w:val="both"/>
        <w:rPr>
          <w:rFonts w:ascii="Century Gothic" w:hAnsi="Century Gothic" w:cs="Cambria"/>
          <w:color w:val="000000" w:themeColor="text1"/>
          <w:sz w:val="22"/>
          <w:szCs w:val="22"/>
        </w:rPr>
      </w:pPr>
      <w:r w:rsidRPr="0099142F">
        <w:rPr>
          <w:rFonts w:ascii="Century Gothic" w:hAnsi="Century Gothic"/>
          <w:color w:val="000000" w:themeColor="text1"/>
          <w:spacing w:val="-2"/>
          <w:sz w:val="22"/>
          <w:szCs w:val="22"/>
        </w:rPr>
        <w:t>El buque est</w:t>
      </w:r>
      <w:r w:rsidR="007F1D0C">
        <w:rPr>
          <w:rFonts w:ascii="Century Gothic" w:hAnsi="Century Gothic"/>
          <w:color w:val="000000" w:themeColor="text1"/>
          <w:spacing w:val="-2"/>
          <w:sz w:val="22"/>
          <w:szCs w:val="22"/>
        </w:rPr>
        <w:t>ará</w:t>
      </w:r>
      <w:r w:rsidRPr="0099142F">
        <w:rPr>
          <w:rFonts w:ascii="Century Gothic" w:hAnsi="Century Gothic"/>
          <w:color w:val="000000" w:themeColor="text1"/>
          <w:spacing w:val="-2"/>
          <w:sz w:val="22"/>
          <w:szCs w:val="22"/>
        </w:rPr>
        <w:t xml:space="preserve"> clasificado por una organización reconocida por la Comisión Europea.</w:t>
      </w:r>
      <w:r w:rsidRPr="0099142F">
        <w:rPr>
          <w:rFonts w:ascii="Century Gothic" w:hAnsi="Century Gothic" w:cs="Cambria"/>
          <w:color w:val="000000" w:themeColor="text1"/>
          <w:sz w:val="22"/>
          <w:szCs w:val="22"/>
        </w:rPr>
        <w:t xml:space="preserve"> Adicionalmente, el certificado de clase emitido conforme a la Regla SOLAS II-1 parte A-1/3.1, incluirá la mención “GAS BUNKER” o similar.</w:t>
      </w:r>
    </w:p>
    <w:p w14:paraId="6948C12E" w14:textId="77777777" w:rsidR="003457E7" w:rsidRPr="0099142F" w:rsidRDefault="003457E7" w:rsidP="003457E7">
      <w:pPr>
        <w:pStyle w:val="Default"/>
        <w:spacing w:line="288" w:lineRule="auto"/>
        <w:jc w:val="both"/>
        <w:rPr>
          <w:rFonts w:ascii="Century Gothic" w:hAnsi="Century Gothic" w:cs="Cambria"/>
          <w:color w:val="000000" w:themeColor="text1"/>
          <w:sz w:val="22"/>
          <w:szCs w:val="22"/>
        </w:rPr>
      </w:pPr>
    </w:p>
    <w:p w14:paraId="444026CB" w14:textId="37AA67F8" w:rsidR="003457E7" w:rsidRPr="00067DA6" w:rsidRDefault="003457E7" w:rsidP="006965D8">
      <w:pPr>
        <w:pStyle w:val="Default"/>
        <w:numPr>
          <w:ilvl w:val="6"/>
          <w:numId w:val="24"/>
        </w:numPr>
        <w:spacing w:line="288" w:lineRule="auto"/>
        <w:jc w:val="both"/>
        <w:rPr>
          <w:rFonts w:ascii="Century Gothic" w:hAnsi="Century Gothic" w:cs="Cambria"/>
          <w:color w:val="000000" w:themeColor="text1"/>
          <w:sz w:val="22"/>
          <w:szCs w:val="22"/>
        </w:rPr>
      </w:pPr>
      <w:r w:rsidRPr="00067DA6">
        <w:rPr>
          <w:rFonts w:ascii="Century Gothic" w:hAnsi="Century Gothic" w:cs="Cambria"/>
          <w:color w:val="000000" w:themeColor="text1"/>
          <w:sz w:val="22"/>
          <w:szCs w:val="22"/>
        </w:rPr>
        <w:t xml:space="preserve">El buque cumplirá con MSC.1/Circ. 1668, </w:t>
      </w:r>
      <w:r w:rsidRPr="00067DA6">
        <w:rPr>
          <w:rFonts w:ascii="Century Gothic" w:hAnsi="Century Gothic" w:cs="Cambria"/>
          <w:i/>
          <w:iCs/>
          <w:color w:val="000000" w:themeColor="text1"/>
          <w:sz w:val="22"/>
          <w:szCs w:val="22"/>
        </w:rPr>
        <w:t>interpretación unificada relativa a los dispositivos de los manifolds de toma de combustible instalados en los buque</w:t>
      </w:r>
      <w:r w:rsidR="0047450D" w:rsidRPr="00067DA6">
        <w:rPr>
          <w:rFonts w:ascii="Century Gothic" w:hAnsi="Century Gothic" w:cs="Cambria"/>
          <w:i/>
          <w:iCs/>
          <w:color w:val="000000" w:themeColor="text1"/>
          <w:sz w:val="22"/>
          <w:szCs w:val="22"/>
        </w:rPr>
        <w:t>s</w:t>
      </w:r>
      <w:r w:rsidRPr="00067DA6">
        <w:rPr>
          <w:rFonts w:ascii="Century Gothic" w:hAnsi="Century Gothic" w:cs="Cambria"/>
          <w:i/>
          <w:iCs/>
          <w:color w:val="000000" w:themeColor="text1"/>
          <w:sz w:val="22"/>
          <w:szCs w:val="22"/>
        </w:rPr>
        <w:t xml:space="preserve"> de aprovisionamiento de GNL previstos en el código IGC</w:t>
      </w:r>
      <w:r w:rsidRPr="00067DA6">
        <w:rPr>
          <w:rFonts w:ascii="Century Gothic" w:hAnsi="Century Gothic" w:cs="Cambria"/>
          <w:color w:val="000000" w:themeColor="text1"/>
          <w:sz w:val="22"/>
          <w:szCs w:val="22"/>
        </w:rPr>
        <w:t>, así como con las demás circulares aplicables actualizadas.</w:t>
      </w:r>
    </w:p>
    <w:p w14:paraId="31ECDA05" w14:textId="600FCB62" w:rsidR="003457E7" w:rsidRPr="00067DA6" w:rsidRDefault="003457E7" w:rsidP="006965D8">
      <w:pPr>
        <w:pStyle w:val="Default"/>
        <w:numPr>
          <w:ilvl w:val="6"/>
          <w:numId w:val="24"/>
        </w:numPr>
        <w:spacing w:line="288" w:lineRule="auto"/>
        <w:jc w:val="both"/>
        <w:rPr>
          <w:rFonts w:ascii="Century Gothic" w:hAnsi="Century Gothic" w:cs="Cambria"/>
          <w:color w:val="000000" w:themeColor="text1"/>
          <w:sz w:val="22"/>
          <w:szCs w:val="22"/>
        </w:rPr>
      </w:pPr>
      <w:r w:rsidRPr="00067DA6">
        <w:rPr>
          <w:rFonts w:ascii="Century Gothic" w:hAnsi="Century Gothic"/>
          <w:color w:val="000000" w:themeColor="text1"/>
          <w:sz w:val="22"/>
          <w:szCs w:val="22"/>
        </w:rPr>
        <w:t xml:space="preserve">Se </w:t>
      </w:r>
      <w:r w:rsidRPr="00067DA6">
        <w:rPr>
          <w:rFonts w:ascii="Century Gothic" w:hAnsi="Century Gothic"/>
          <w:color w:val="000000" w:themeColor="text1"/>
          <w:sz w:val="22"/>
          <w:szCs w:val="22"/>
          <w:shd w:val="clear" w:color="auto" w:fill="FFFFFF" w:themeFill="background1"/>
        </w:rPr>
        <w:t xml:space="preserve">recomienda que el buque de </w:t>
      </w:r>
      <w:r w:rsidRPr="00067DA6">
        <w:rPr>
          <w:rFonts w:ascii="Century Gothic" w:hAnsi="Century Gothic"/>
          <w:color w:val="000000" w:themeColor="text1"/>
          <w:sz w:val="22"/>
          <w:szCs w:val="22"/>
        </w:rPr>
        <w:t xml:space="preserve">suministro sea tipo 1G (2.1.2 del código IGC), especialmente cuando el servicio comercial de suministro se preste en la zona I del puerto. </w:t>
      </w:r>
    </w:p>
    <w:p w14:paraId="27E412A8" w14:textId="1A8A9F48" w:rsidR="003457E7" w:rsidRPr="00A01891" w:rsidRDefault="003457E7" w:rsidP="006965D8">
      <w:pPr>
        <w:pStyle w:val="Default"/>
        <w:numPr>
          <w:ilvl w:val="6"/>
          <w:numId w:val="24"/>
        </w:numPr>
        <w:spacing w:line="288" w:lineRule="auto"/>
        <w:jc w:val="both"/>
        <w:rPr>
          <w:rFonts w:ascii="Century Gothic" w:hAnsi="Century Gothic" w:cs="Cambria"/>
          <w:color w:val="auto"/>
          <w:sz w:val="22"/>
          <w:szCs w:val="22"/>
        </w:rPr>
      </w:pPr>
      <w:bookmarkStart w:id="41" w:name="_Hlk215570397"/>
      <w:r w:rsidRPr="00067DA6">
        <w:rPr>
          <w:rFonts w:ascii="Century Gothic" w:hAnsi="Century Gothic" w:cs="Cambria"/>
          <w:color w:val="000000" w:themeColor="text1"/>
          <w:sz w:val="22"/>
          <w:szCs w:val="22"/>
        </w:rPr>
        <w:t>El buque suministrador dispondrá de una</w:t>
      </w:r>
      <w:r w:rsidR="004A68E0">
        <w:rPr>
          <w:rFonts w:ascii="Century Gothic" w:hAnsi="Century Gothic" w:cs="Cambria"/>
          <w:color w:val="000000" w:themeColor="text1"/>
          <w:sz w:val="22"/>
          <w:szCs w:val="22"/>
        </w:rPr>
        <w:t xml:space="preserve"> </w:t>
      </w:r>
      <w:r w:rsidR="004A68E0" w:rsidRPr="004A68E0">
        <w:rPr>
          <w:rFonts w:ascii="Century Gothic" w:hAnsi="Century Gothic" w:cs="Cambria"/>
          <w:b/>
          <w:bCs/>
          <w:color w:val="000000" w:themeColor="text1"/>
          <w:sz w:val="22"/>
          <w:szCs w:val="22"/>
        </w:rPr>
        <w:t>hélice de proa</w:t>
      </w:r>
      <w:r w:rsidRPr="00067DA6">
        <w:rPr>
          <w:rFonts w:ascii="Century Gothic" w:hAnsi="Century Gothic" w:cs="Cambria"/>
          <w:color w:val="000000" w:themeColor="text1"/>
          <w:sz w:val="22"/>
          <w:szCs w:val="22"/>
        </w:rPr>
        <w:t xml:space="preserve"> </w:t>
      </w:r>
      <w:r w:rsidR="004A68E0" w:rsidRPr="004A68E0">
        <w:rPr>
          <w:rFonts w:ascii="Century Gothic" w:hAnsi="Century Gothic" w:cs="Cambria"/>
          <w:color w:val="000000" w:themeColor="text1"/>
          <w:sz w:val="22"/>
          <w:szCs w:val="22"/>
        </w:rPr>
        <w:t>(</w:t>
      </w:r>
      <w:r w:rsidRPr="004A68E0">
        <w:rPr>
          <w:rFonts w:ascii="Century Gothic" w:hAnsi="Century Gothic" w:cs="Cambria"/>
          <w:i/>
          <w:iCs/>
          <w:color w:val="000000" w:themeColor="text1"/>
          <w:sz w:val="22"/>
          <w:szCs w:val="22"/>
        </w:rPr>
        <w:t>bow thruster</w:t>
      </w:r>
      <w:r w:rsidR="004A68E0" w:rsidRPr="004A68E0">
        <w:rPr>
          <w:rFonts w:ascii="Century Gothic" w:hAnsi="Century Gothic" w:cs="Cambria"/>
          <w:color w:val="000000" w:themeColor="text1"/>
          <w:sz w:val="22"/>
          <w:szCs w:val="22"/>
        </w:rPr>
        <w:t>)</w:t>
      </w:r>
      <w:r w:rsidRPr="004A68E0">
        <w:rPr>
          <w:rFonts w:ascii="Century Gothic" w:hAnsi="Century Gothic" w:cs="Cambria"/>
          <w:color w:val="000000" w:themeColor="text1"/>
          <w:sz w:val="22"/>
          <w:szCs w:val="22"/>
        </w:rPr>
        <w:t>.</w:t>
      </w:r>
      <w:r w:rsidRPr="00067DA6">
        <w:rPr>
          <w:rFonts w:ascii="Century Gothic" w:hAnsi="Century Gothic" w:cs="Cambria"/>
          <w:color w:val="000000" w:themeColor="text1"/>
          <w:sz w:val="22"/>
          <w:szCs w:val="22"/>
        </w:rPr>
        <w:t xml:space="preserve"> Adicionalmente, y </w:t>
      </w:r>
      <w:r w:rsidR="00A01891">
        <w:rPr>
          <w:rFonts w:ascii="Century Gothic" w:hAnsi="Century Gothic" w:cs="Cambria"/>
          <w:color w:val="000000" w:themeColor="text1"/>
          <w:sz w:val="22"/>
          <w:szCs w:val="22"/>
        </w:rPr>
        <w:t>s</w:t>
      </w:r>
      <w:r w:rsidRPr="00067DA6">
        <w:rPr>
          <w:rFonts w:ascii="Century Gothic" w:hAnsi="Century Gothic" w:cs="Cambria"/>
          <w:color w:val="000000" w:themeColor="text1"/>
          <w:sz w:val="22"/>
          <w:szCs w:val="22"/>
        </w:rPr>
        <w:t xml:space="preserve">alvo que el buque cuente con la asistencia de remolcador durante las maniobras, o el </w:t>
      </w:r>
      <w:r w:rsidRPr="00A01891">
        <w:rPr>
          <w:rFonts w:ascii="Century Gothic" w:hAnsi="Century Gothic" w:cs="Cambria"/>
          <w:color w:val="auto"/>
          <w:sz w:val="22"/>
          <w:szCs w:val="22"/>
        </w:rPr>
        <w:t>suministro de combustible no se efectúe en la Zona I, el buque suministrador dispondrá de</w:t>
      </w:r>
      <w:r w:rsidR="00F7657F" w:rsidRPr="00A01891">
        <w:rPr>
          <w:rFonts w:ascii="Century Gothic" w:hAnsi="Century Gothic" w:cs="Cambria"/>
          <w:color w:val="auto"/>
          <w:sz w:val="22"/>
          <w:szCs w:val="22"/>
        </w:rPr>
        <w:t xml:space="preserve"> dos propulsores independientes, ya sea por medio de conjuntos de eje, hélice y timón (o único timón central), o propulsores de tipo azimutal.</w:t>
      </w:r>
      <w:r w:rsidRPr="00A01891">
        <w:rPr>
          <w:rFonts w:ascii="Century Gothic" w:hAnsi="Century Gothic" w:cs="Cambria"/>
          <w:color w:val="auto"/>
          <w:sz w:val="22"/>
          <w:szCs w:val="22"/>
        </w:rPr>
        <w:t xml:space="preserve"> </w:t>
      </w:r>
      <w:r w:rsidR="00F7657F" w:rsidRPr="00A01891">
        <w:rPr>
          <w:rFonts w:ascii="Century Gothic" w:hAnsi="Century Gothic"/>
          <w:color w:val="auto"/>
          <w:sz w:val="22"/>
          <w:szCs w:val="22"/>
        </w:rPr>
        <w:t>C</w:t>
      </w:r>
      <w:r w:rsidRPr="00A01891">
        <w:rPr>
          <w:rFonts w:ascii="Century Gothic" w:hAnsi="Century Gothic"/>
          <w:color w:val="auto"/>
          <w:sz w:val="22"/>
          <w:szCs w:val="22"/>
        </w:rPr>
        <w:t>ada propulsor</w:t>
      </w:r>
      <w:r w:rsidR="00F7657F" w:rsidRPr="00A01891">
        <w:rPr>
          <w:rFonts w:ascii="Century Gothic" w:hAnsi="Century Gothic"/>
          <w:color w:val="auto"/>
          <w:sz w:val="22"/>
          <w:szCs w:val="22"/>
        </w:rPr>
        <w:t xml:space="preserve"> será alimentado por </w:t>
      </w:r>
      <w:r w:rsidR="000B6B8A" w:rsidRPr="00A01891">
        <w:rPr>
          <w:rFonts w:ascii="Century Gothic" w:hAnsi="Century Gothic"/>
          <w:color w:val="auto"/>
          <w:sz w:val="22"/>
          <w:szCs w:val="22"/>
        </w:rPr>
        <w:t>una</w:t>
      </w:r>
      <w:r w:rsidR="00F7657F" w:rsidRPr="00A01891">
        <w:rPr>
          <w:rFonts w:ascii="Century Gothic" w:hAnsi="Century Gothic"/>
          <w:color w:val="auto"/>
          <w:sz w:val="22"/>
          <w:szCs w:val="22"/>
        </w:rPr>
        <w:t xml:space="preserve"> fuente de energía independiente</w:t>
      </w:r>
      <w:r w:rsidR="00FA08AA" w:rsidRPr="00A01891">
        <w:rPr>
          <w:rFonts w:ascii="Century Gothic" w:hAnsi="Century Gothic"/>
          <w:color w:val="auto"/>
          <w:sz w:val="22"/>
          <w:szCs w:val="22"/>
        </w:rPr>
        <w:t xml:space="preserve"> </w:t>
      </w:r>
      <w:r w:rsidR="00F7657F" w:rsidRPr="00A01891">
        <w:rPr>
          <w:rFonts w:ascii="Century Gothic" w:hAnsi="Century Gothic"/>
          <w:color w:val="auto"/>
          <w:sz w:val="22"/>
          <w:szCs w:val="22"/>
        </w:rPr>
        <w:t xml:space="preserve">como mínimo. </w:t>
      </w:r>
    </w:p>
    <w:p w14:paraId="3ABDB509" w14:textId="3CD435C2" w:rsidR="003457E7" w:rsidRPr="00067DA6" w:rsidRDefault="003457E7" w:rsidP="006965D8">
      <w:pPr>
        <w:pStyle w:val="Default"/>
        <w:numPr>
          <w:ilvl w:val="6"/>
          <w:numId w:val="24"/>
        </w:numPr>
        <w:spacing w:line="288" w:lineRule="auto"/>
        <w:jc w:val="both"/>
        <w:rPr>
          <w:rFonts w:ascii="Century Gothic" w:hAnsi="Century Gothic" w:cs="Cambria"/>
          <w:color w:val="000000" w:themeColor="text1"/>
          <w:sz w:val="22"/>
          <w:szCs w:val="22"/>
        </w:rPr>
      </w:pPr>
      <w:bookmarkStart w:id="42" w:name="_Hlk215572315"/>
      <w:bookmarkEnd w:id="41"/>
      <w:r w:rsidRPr="00067DA6">
        <w:rPr>
          <w:rFonts w:ascii="Century Gothic" w:hAnsi="Century Gothic"/>
          <w:color w:val="000000" w:themeColor="text1"/>
          <w:spacing w:val="-2"/>
          <w:sz w:val="22"/>
          <w:szCs w:val="22"/>
        </w:rPr>
        <w:t xml:space="preserve">El buque dispone de un </w:t>
      </w:r>
      <w:r w:rsidRPr="00067DA6">
        <w:rPr>
          <w:rFonts w:ascii="Century Gothic" w:hAnsi="Century Gothic"/>
          <w:b/>
          <w:bCs/>
          <w:color w:val="000000" w:themeColor="text1"/>
          <w:spacing w:val="-2"/>
          <w:sz w:val="22"/>
          <w:szCs w:val="22"/>
        </w:rPr>
        <w:t xml:space="preserve">documento de aprobación del instrumento de estabilidad </w:t>
      </w:r>
      <w:r w:rsidRPr="00067DA6">
        <w:rPr>
          <w:rFonts w:ascii="Century Gothic" w:hAnsi="Century Gothic"/>
          <w:color w:val="000000" w:themeColor="text1"/>
          <w:spacing w:val="-2"/>
          <w:sz w:val="22"/>
          <w:szCs w:val="22"/>
        </w:rPr>
        <w:t>de conformidad con el punto 2.2.6 del código IGC.</w:t>
      </w:r>
    </w:p>
    <w:bookmarkEnd w:id="42"/>
    <w:p w14:paraId="3A66A669" w14:textId="4551661B" w:rsidR="003457E7" w:rsidRPr="00067DA6" w:rsidRDefault="003457E7" w:rsidP="006965D8">
      <w:pPr>
        <w:pStyle w:val="Default"/>
        <w:numPr>
          <w:ilvl w:val="6"/>
          <w:numId w:val="24"/>
        </w:numPr>
        <w:spacing w:after="120" w:line="288" w:lineRule="auto"/>
        <w:ind w:left="357"/>
        <w:jc w:val="both"/>
        <w:rPr>
          <w:rFonts w:ascii="Century Gothic" w:hAnsi="Century Gothic"/>
          <w:color w:val="000000" w:themeColor="text1"/>
          <w:spacing w:val="-2"/>
        </w:rPr>
      </w:pPr>
      <w:r w:rsidRPr="00067DA6">
        <w:rPr>
          <w:rFonts w:ascii="Century Gothic" w:hAnsi="Century Gothic"/>
          <w:color w:val="000000" w:themeColor="text1"/>
          <w:sz w:val="22"/>
          <w:szCs w:val="22"/>
        </w:rPr>
        <w:t xml:space="preserve">EL buque dispondrá de un </w:t>
      </w:r>
      <w:r w:rsidRPr="00067DA6">
        <w:rPr>
          <w:rFonts w:ascii="Century Gothic" w:hAnsi="Century Gothic"/>
          <w:b/>
          <w:bCs/>
          <w:color w:val="000000" w:themeColor="text1"/>
          <w:sz w:val="22"/>
          <w:szCs w:val="22"/>
        </w:rPr>
        <w:t>manual de mantenimiento</w:t>
      </w:r>
      <w:r w:rsidRPr="00067DA6">
        <w:rPr>
          <w:rFonts w:ascii="Century Gothic" w:hAnsi="Century Gothic"/>
          <w:color w:val="000000" w:themeColor="text1"/>
          <w:sz w:val="22"/>
          <w:szCs w:val="22"/>
        </w:rPr>
        <w:t xml:space="preserve"> </w:t>
      </w:r>
      <w:r w:rsidRPr="00067DA6">
        <w:rPr>
          <w:rFonts w:ascii="Century Gothic" w:hAnsi="Century Gothic"/>
          <w:b/>
          <w:bCs/>
          <w:color w:val="000000" w:themeColor="text1"/>
          <w:sz w:val="22"/>
          <w:szCs w:val="22"/>
        </w:rPr>
        <w:t xml:space="preserve">del sistema de transferencia de GNL </w:t>
      </w:r>
      <w:r w:rsidRPr="00067DA6">
        <w:rPr>
          <w:rFonts w:ascii="Century Gothic" w:hAnsi="Century Gothic"/>
          <w:color w:val="000000" w:themeColor="text1"/>
          <w:sz w:val="22"/>
          <w:szCs w:val="22"/>
        </w:rPr>
        <w:t>(brazos de carga, manifold, sistema de desacople de emergencia, expansiones, bridas, etc);</w:t>
      </w:r>
      <w:r w:rsidRPr="00067DA6">
        <w:rPr>
          <w:rFonts w:ascii="Century Gothic" w:hAnsi="Century Gothic"/>
          <w:b/>
          <w:bCs/>
          <w:color w:val="000000" w:themeColor="text1"/>
          <w:sz w:val="22"/>
          <w:szCs w:val="22"/>
        </w:rPr>
        <w:t xml:space="preserve"> </w:t>
      </w:r>
      <w:r w:rsidRPr="00067DA6">
        <w:rPr>
          <w:rFonts w:ascii="Century Gothic" w:hAnsi="Century Gothic"/>
          <w:color w:val="000000" w:themeColor="text1"/>
          <w:sz w:val="22"/>
          <w:szCs w:val="22"/>
        </w:rPr>
        <w:t>dicho sistema</w:t>
      </w:r>
      <w:r w:rsidRPr="00067DA6">
        <w:rPr>
          <w:rFonts w:ascii="Century Gothic" w:hAnsi="Century Gothic"/>
          <w:b/>
          <w:bCs/>
          <w:color w:val="000000" w:themeColor="text1"/>
          <w:sz w:val="22"/>
          <w:szCs w:val="22"/>
        </w:rPr>
        <w:t xml:space="preserve"> </w:t>
      </w:r>
      <w:r w:rsidRPr="00067DA6">
        <w:rPr>
          <w:rFonts w:ascii="Century Gothic" w:hAnsi="Century Gothic"/>
          <w:color w:val="000000" w:themeColor="text1"/>
          <w:sz w:val="22"/>
          <w:szCs w:val="22"/>
        </w:rPr>
        <w:t xml:space="preserve">cumplirá los requisitos del código IGC/IGF o los mencionados en el apartado 5.3 de la norma ISO 20519. El </w:t>
      </w:r>
      <w:r w:rsidRPr="00067DA6">
        <w:rPr>
          <w:rFonts w:ascii="Century Gothic" w:hAnsi="Century Gothic"/>
          <w:b/>
          <w:bCs/>
          <w:color w:val="000000" w:themeColor="text1"/>
          <w:sz w:val="22"/>
          <w:szCs w:val="22"/>
        </w:rPr>
        <w:t xml:space="preserve">sistema de transferencia </w:t>
      </w:r>
      <w:r w:rsidRPr="00067DA6">
        <w:rPr>
          <w:rFonts w:ascii="Century Gothic" w:hAnsi="Century Gothic"/>
          <w:color w:val="000000" w:themeColor="text1"/>
          <w:sz w:val="22"/>
          <w:szCs w:val="22"/>
        </w:rPr>
        <w:t xml:space="preserve">será mantenido y revisado de acuerdo con las instrucciones del fabricante. Las mangueras de suministro estarán certificadas y aprobadas, </w:t>
      </w:r>
      <w:r w:rsidRPr="00067DA6">
        <w:rPr>
          <w:rFonts w:ascii="Century Gothic" w:hAnsi="Century Gothic"/>
          <w:color w:val="000000" w:themeColor="text1"/>
          <w:sz w:val="22"/>
          <w:szCs w:val="22"/>
          <w:u w:val="single"/>
        </w:rPr>
        <w:t>y serán aportadas por el buque suministrador</w:t>
      </w:r>
      <w:r w:rsidRPr="00067DA6">
        <w:rPr>
          <w:rFonts w:ascii="Century Gothic" w:hAnsi="Century Gothic"/>
          <w:color w:val="000000" w:themeColor="text1"/>
          <w:sz w:val="22"/>
          <w:szCs w:val="22"/>
        </w:rPr>
        <w:t>. Adicionalmente, el sistema de gestión de la seguridad operacional del buque incluirá un apartado dedicado a las inspecciones periódicas de las mangueras de suministro, con el fin de que garantice que mantienen la conductividad, estanqueidad e integridad física.</w:t>
      </w:r>
    </w:p>
    <w:p w14:paraId="0F0AED0E" w14:textId="77777777" w:rsidR="003457E7" w:rsidRPr="0099142F" w:rsidRDefault="003457E7" w:rsidP="003457E7">
      <w:pPr>
        <w:pStyle w:val="Prrafodelista"/>
        <w:tabs>
          <w:tab w:val="center" w:pos="4645"/>
        </w:tabs>
        <w:autoSpaceDE w:val="0"/>
        <w:autoSpaceDN w:val="0"/>
        <w:adjustRightInd w:val="0"/>
        <w:spacing w:after="0" w:line="288" w:lineRule="auto"/>
        <w:ind w:left="786"/>
        <w:rPr>
          <w:rFonts w:ascii="Century Gothic" w:hAnsi="Century Gothic" w:cs="Cambria"/>
          <w:b/>
          <w:bCs/>
          <w:color w:val="000000" w:themeColor="text1"/>
          <w:lang w:eastAsia="es-ES"/>
        </w:rPr>
      </w:pPr>
      <w:r w:rsidRPr="0099142F">
        <w:rPr>
          <w:rFonts w:ascii="Century Gothic" w:hAnsi="Century Gothic" w:cs="Cambria"/>
          <w:b/>
          <w:bCs/>
          <w:color w:val="000000" w:themeColor="text1"/>
          <w:lang w:eastAsia="es-ES"/>
        </w:rPr>
        <w:t>c.  Requisitos operacionales</w:t>
      </w:r>
      <w:r w:rsidRPr="0099142F">
        <w:rPr>
          <w:rFonts w:ascii="Century Gothic" w:hAnsi="Century Gothic" w:cs="Cambria"/>
          <w:b/>
          <w:bCs/>
          <w:color w:val="000000" w:themeColor="text1"/>
          <w:lang w:eastAsia="es-ES"/>
        </w:rPr>
        <w:tab/>
      </w:r>
    </w:p>
    <w:p w14:paraId="3134DC92" w14:textId="77777777" w:rsidR="003457E7" w:rsidRPr="0099142F" w:rsidRDefault="003457E7" w:rsidP="003457E7">
      <w:pPr>
        <w:pStyle w:val="Prrafodelista"/>
        <w:tabs>
          <w:tab w:val="center" w:pos="4645"/>
        </w:tabs>
        <w:autoSpaceDE w:val="0"/>
        <w:autoSpaceDN w:val="0"/>
        <w:adjustRightInd w:val="0"/>
        <w:spacing w:after="0" w:line="288" w:lineRule="auto"/>
        <w:ind w:left="786"/>
        <w:rPr>
          <w:rFonts w:ascii="Century Gothic" w:hAnsi="Century Gothic" w:cs="Cambria"/>
          <w:b/>
          <w:bCs/>
          <w:color w:val="000000" w:themeColor="text1"/>
          <w:lang w:eastAsia="es-ES"/>
        </w:rPr>
      </w:pPr>
    </w:p>
    <w:p w14:paraId="6B46780E" w14:textId="5676F9D1" w:rsidR="003457E7" w:rsidRPr="00067DA6" w:rsidRDefault="003457E7" w:rsidP="006965D8">
      <w:pPr>
        <w:pStyle w:val="Default"/>
        <w:numPr>
          <w:ilvl w:val="3"/>
          <w:numId w:val="21"/>
        </w:numPr>
        <w:spacing w:line="288" w:lineRule="auto"/>
        <w:ind w:left="357" w:hanging="357"/>
        <w:jc w:val="both"/>
        <w:rPr>
          <w:rFonts w:ascii="Century Gothic" w:hAnsi="Century Gothic" w:cs="Cambria"/>
          <w:color w:val="000000" w:themeColor="text1"/>
          <w:sz w:val="22"/>
          <w:szCs w:val="22"/>
        </w:rPr>
      </w:pPr>
      <w:bookmarkStart w:id="43" w:name="_Hlk215568291"/>
      <w:r w:rsidRPr="00067DA6">
        <w:rPr>
          <w:rFonts w:ascii="Century Gothic" w:hAnsi="Century Gothic" w:cs="Cambria"/>
          <w:color w:val="000000" w:themeColor="text1"/>
          <w:sz w:val="22"/>
          <w:szCs w:val="22"/>
        </w:rPr>
        <w:t xml:space="preserve">El prestador del servicio identificará los datos de contacto 24/7 del Designated Person Ashore (DPA) de la compañía ISM de suministro, obligándose a </w:t>
      </w:r>
      <w:r w:rsidRPr="00067DA6">
        <w:rPr>
          <w:rFonts w:ascii="Century Gothic" w:hAnsi="Century Gothic" w:cs="Cambria"/>
          <w:b/>
          <w:bCs/>
          <w:color w:val="000000" w:themeColor="text1"/>
          <w:sz w:val="22"/>
          <w:szCs w:val="22"/>
        </w:rPr>
        <w:t xml:space="preserve">notificar </w:t>
      </w:r>
      <w:r w:rsidRPr="00067DA6">
        <w:rPr>
          <w:rFonts w:ascii="Century Gothic" w:hAnsi="Century Gothic" w:cs="Cambria"/>
          <w:b/>
          <w:bCs/>
          <w:color w:val="000000" w:themeColor="text1"/>
          <w:sz w:val="22"/>
          <w:szCs w:val="22"/>
        </w:rPr>
        <w:lastRenderedPageBreak/>
        <w:t>inmediatamente</w:t>
      </w:r>
      <w:r w:rsidRPr="00067DA6">
        <w:rPr>
          <w:rFonts w:ascii="Century Gothic" w:hAnsi="Century Gothic" w:cs="Cambria"/>
          <w:color w:val="000000" w:themeColor="text1"/>
          <w:sz w:val="22"/>
          <w:szCs w:val="22"/>
        </w:rPr>
        <w:t xml:space="preserve"> cualquier cambio de la compañía ISM contratada o del DPA a la Capitanía Marítima correspondiente.</w:t>
      </w:r>
    </w:p>
    <w:p w14:paraId="737BB4FA" w14:textId="491F57D5" w:rsidR="003457E7" w:rsidRPr="00067DA6" w:rsidRDefault="003457E7" w:rsidP="006965D8">
      <w:pPr>
        <w:pStyle w:val="Default"/>
        <w:numPr>
          <w:ilvl w:val="3"/>
          <w:numId w:val="21"/>
        </w:numPr>
        <w:spacing w:line="288" w:lineRule="auto"/>
        <w:ind w:left="357" w:hanging="357"/>
        <w:jc w:val="both"/>
        <w:rPr>
          <w:rFonts w:ascii="Century Gothic" w:hAnsi="Century Gothic" w:cs="Cambria"/>
          <w:color w:val="000000" w:themeColor="text1"/>
          <w:sz w:val="22"/>
          <w:szCs w:val="22"/>
        </w:rPr>
      </w:pPr>
      <w:r w:rsidRPr="00067DA6">
        <w:rPr>
          <w:rFonts w:ascii="Century Gothic" w:hAnsi="Century Gothic" w:cs="Cambria"/>
          <w:color w:val="000000" w:themeColor="text1"/>
          <w:sz w:val="22"/>
          <w:szCs w:val="22"/>
        </w:rPr>
        <w:t xml:space="preserve">Si la compañía ISM no está ubicada en el Espacio Económico Europeo, designará a un representante permanente en España o en un Estado del Espacio Económico Europeo, aportando a tal efecto una carta justificativa firmada por ambas partes. </w:t>
      </w:r>
    </w:p>
    <w:bookmarkEnd w:id="43"/>
    <w:p w14:paraId="6BDADE8B" w14:textId="74B76C69" w:rsidR="003457E7" w:rsidRPr="0099142F" w:rsidRDefault="00DE5D25" w:rsidP="006965D8">
      <w:pPr>
        <w:pStyle w:val="Default"/>
        <w:numPr>
          <w:ilvl w:val="3"/>
          <w:numId w:val="21"/>
        </w:numPr>
        <w:spacing w:line="288" w:lineRule="auto"/>
        <w:ind w:left="357" w:hanging="357"/>
        <w:jc w:val="both"/>
        <w:rPr>
          <w:rFonts w:ascii="Century Gothic" w:hAnsi="Century Gothic" w:cs="Cambria"/>
          <w:color w:val="000000" w:themeColor="text1"/>
          <w:sz w:val="22"/>
          <w:szCs w:val="22"/>
        </w:rPr>
      </w:pPr>
      <w:r>
        <w:rPr>
          <w:rFonts w:ascii="Century Gothic" w:hAnsi="Century Gothic" w:cs="Cambria"/>
          <w:b/>
          <w:bCs/>
          <w:color w:val="000000" w:themeColor="text1"/>
          <w:sz w:val="22"/>
          <w:szCs w:val="22"/>
        </w:rPr>
        <w:t>La clasificación de</w:t>
      </w:r>
      <w:r w:rsidR="003457E7" w:rsidRPr="0099142F">
        <w:rPr>
          <w:rFonts w:ascii="Century Gothic" w:hAnsi="Century Gothic" w:cs="Cambria"/>
          <w:b/>
          <w:bCs/>
          <w:color w:val="000000" w:themeColor="text1"/>
          <w:sz w:val="22"/>
          <w:szCs w:val="22"/>
        </w:rPr>
        <w:t xml:space="preserve">l historial de la </w:t>
      </w:r>
      <w:r w:rsidR="003457E7" w:rsidRPr="0099142F">
        <w:rPr>
          <w:rFonts w:ascii="Century Gothic" w:hAnsi="Century Gothic" w:cs="Cambria"/>
          <w:b/>
          <w:bCs/>
          <w:color w:val="000000" w:themeColor="text1"/>
          <w:sz w:val="22"/>
          <w:szCs w:val="22"/>
          <w:shd w:val="clear" w:color="auto" w:fill="FFFFFF" w:themeFill="background1"/>
        </w:rPr>
        <w:t xml:space="preserve">compañía ha </w:t>
      </w:r>
      <w:r>
        <w:rPr>
          <w:rFonts w:ascii="Century Gothic" w:hAnsi="Century Gothic" w:cs="Cambria"/>
          <w:b/>
          <w:bCs/>
          <w:color w:val="000000" w:themeColor="text1"/>
          <w:sz w:val="22"/>
          <w:szCs w:val="22"/>
          <w:shd w:val="clear" w:color="auto" w:fill="FFFFFF" w:themeFill="background1"/>
        </w:rPr>
        <w:t>de ser</w:t>
      </w:r>
      <w:r w:rsidR="003457E7" w:rsidRPr="0099142F">
        <w:rPr>
          <w:rFonts w:ascii="Century Gothic" w:hAnsi="Century Gothic" w:cs="Cambria"/>
          <w:b/>
          <w:bCs/>
          <w:color w:val="000000" w:themeColor="text1"/>
          <w:sz w:val="22"/>
          <w:szCs w:val="22"/>
          <w:shd w:val="clear" w:color="auto" w:fill="FFFFFF" w:themeFill="background1"/>
        </w:rPr>
        <w:t xml:space="preserve"> </w:t>
      </w:r>
      <w:r w:rsidR="003457E7" w:rsidRPr="0099142F">
        <w:rPr>
          <w:rFonts w:ascii="Century Gothic" w:hAnsi="Century Gothic" w:cs="Cambria"/>
          <w:b/>
          <w:bCs/>
          <w:color w:val="000000" w:themeColor="text1"/>
          <w:sz w:val="22"/>
          <w:szCs w:val="22"/>
        </w:rPr>
        <w:t>“normal” o “satisfactori</w:t>
      </w:r>
      <w:r>
        <w:rPr>
          <w:rFonts w:ascii="Century Gothic" w:hAnsi="Century Gothic" w:cs="Cambria"/>
          <w:b/>
          <w:bCs/>
          <w:color w:val="000000" w:themeColor="text1"/>
          <w:sz w:val="22"/>
          <w:szCs w:val="22"/>
        </w:rPr>
        <w:t>o</w:t>
      </w:r>
      <w:r w:rsidR="003457E7" w:rsidRPr="0099142F">
        <w:rPr>
          <w:rFonts w:ascii="Century Gothic" w:hAnsi="Century Gothic" w:cs="Cambria"/>
          <w:b/>
          <w:bCs/>
          <w:color w:val="000000" w:themeColor="text1"/>
          <w:sz w:val="22"/>
          <w:szCs w:val="22"/>
        </w:rPr>
        <w:t xml:space="preserve">” </w:t>
      </w:r>
      <w:r>
        <w:rPr>
          <w:rFonts w:ascii="Century Gothic" w:hAnsi="Century Gothic" w:cs="Cambria"/>
          <w:color w:val="000000" w:themeColor="text1"/>
          <w:sz w:val="22"/>
          <w:szCs w:val="22"/>
        </w:rPr>
        <w:t>conforme al Reglamento (UE)</w:t>
      </w:r>
      <w:r w:rsidR="003457E7" w:rsidRPr="0099142F">
        <w:rPr>
          <w:rFonts w:ascii="Century Gothic" w:hAnsi="Century Gothic" w:cs="Cambria"/>
          <w:i/>
          <w:iCs/>
          <w:color w:val="000000" w:themeColor="text1"/>
          <w:sz w:val="22"/>
          <w:szCs w:val="22"/>
        </w:rPr>
        <w:t xml:space="preserve"> 802/2010 </w:t>
      </w:r>
      <w:r>
        <w:rPr>
          <w:rFonts w:ascii="Century Gothic" w:hAnsi="Century Gothic" w:cs="Cambria"/>
          <w:i/>
          <w:iCs/>
          <w:color w:val="000000" w:themeColor="text1"/>
          <w:sz w:val="22"/>
          <w:szCs w:val="22"/>
        </w:rPr>
        <w:t>de la Comisión Europea</w:t>
      </w:r>
      <w:r w:rsidR="003457E7" w:rsidRPr="0099142F">
        <w:rPr>
          <w:rFonts w:ascii="Century Gothic" w:hAnsi="Century Gothic" w:cs="Cambria"/>
          <w:i/>
          <w:iCs/>
          <w:color w:val="000000" w:themeColor="text1"/>
          <w:sz w:val="22"/>
          <w:szCs w:val="22"/>
        </w:rPr>
        <w:t xml:space="preserve"> de 13 de septiembre de 2010 por el que se aplican las disposiciones del artículo 10, apartado 3, y del artículo 27 de la Directiva 2009/16/CE del Parlamento Europeo y del Consejo </w:t>
      </w:r>
      <w:r w:rsidR="003457E7" w:rsidRPr="00DE5D25">
        <w:rPr>
          <w:rFonts w:ascii="Century Gothic" w:hAnsi="Century Gothic" w:cs="Cambria"/>
          <w:color w:val="000000" w:themeColor="text1"/>
          <w:sz w:val="22"/>
          <w:szCs w:val="22"/>
        </w:rPr>
        <w:t>en lo que respecta al historial de las compañías</w:t>
      </w:r>
      <w:r w:rsidRPr="00DE5D25">
        <w:rPr>
          <w:rFonts w:ascii="Century Gothic" w:hAnsi="Century Gothic" w:cs="Cambria"/>
          <w:color w:val="000000" w:themeColor="text1"/>
          <w:sz w:val="22"/>
          <w:szCs w:val="22"/>
        </w:rPr>
        <w:t xml:space="preserve"> que pueden consultarse a través de</w:t>
      </w:r>
      <w:r w:rsidR="003457E7" w:rsidRPr="0099142F">
        <w:rPr>
          <w:rFonts w:ascii="Century Gothic" w:hAnsi="Century Gothic" w:cs="Cambria"/>
          <w:color w:val="000000" w:themeColor="text1"/>
          <w:sz w:val="22"/>
          <w:szCs w:val="22"/>
        </w:rPr>
        <w:t xml:space="preserve"> </w:t>
      </w:r>
      <w:hyperlink r:id="rId15" w:history="1">
        <w:r w:rsidR="003457E7" w:rsidRPr="0099142F">
          <w:rPr>
            <w:rStyle w:val="Hipervnculo"/>
            <w:rFonts w:ascii="Century Gothic" w:hAnsi="Century Gothic" w:cs="Cambria"/>
            <w:color w:val="000000" w:themeColor="text1"/>
            <w:sz w:val="22"/>
            <w:szCs w:val="22"/>
          </w:rPr>
          <w:t>https://portal.emsa.europa.eu/web/thetis/company-performance-calculator</w:t>
        </w:r>
      </w:hyperlink>
    </w:p>
    <w:p w14:paraId="469860EC" w14:textId="77777777" w:rsidR="003457E7" w:rsidRPr="0099142F" w:rsidRDefault="003457E7" w:rsidP="003457E7">
      <w:pPr>
        <w:pStyle w:val="Default"/>
        <w:spacing w:line="288" w:lineRule="auto"/>
        <w:ind w:left="357"/>
        <w:jc w:val="both"/>
        <w:rPr>
          <w:rFonts w:ascii="Century Gothic" w:hAnsi="Century Gothic" w:cs="Cambria"/>
          <w:color w:val="000000" w:themeColor="text1"/>
          <w:sz w:val="22"/>
          <w:szCs w:val="22"/>
        </w:rPr>
      </w:pPr>
    </w:p>
    <w:p w14:paraId="32149FE7" w14:textId="54A216AD" w:rsidR="003457E7" w:rsidRPr="00067DA6" w:rsidRDefault="003457E7" w:rsidP="006965D8">
      <w:pPr>
        <w:pStyle w:val="Default"/>
        <w:numPr>
          <w:ilvl w:val="3"/>
          <w:numId w:val="21"/>
        </w:numPr>
        <w:spacing w:line="288" w:lineRule="auto"/>
        <w:ind w:left="357" w:hanging="357"/>
        <w:jc w:val="both"/>
        <w:rPr>
          <w:rFonts w:ascii="Century Gothic" w:hAnsi="Century Gothic"/>
          <w:b/>
          <w:bCs/>
          <w:color w:val="000000" w:themeColor="text1"/>
          <w:spacing w:val="-2"/>
        </w:rPr>
      </w:pPr>
      <w:r w:rsidRPr="00067DA6">
        <w:rPr>
          <w:rFonts w:ascii="Century Gothic" w:hAnsi="Century Gothic" w:cs="Cambria"/>
          <w:color w:val="000000" w:themeColor="text1"/>
          <w:sz w:val="22"/>
          <w:szCs w:val="22"/>
        </w:rPr>
        <w:t xml:space="preserve">La compañía ISM que gestiona el buque suministrador habrá implantado un Sistema de Gestión de la Seguridad Operacional conforme a los requisitos del código ISM, y estará certificado   de acuerdo con las disposiciones del capítulo IX del anexo del SOLAS, en su redacción vigente o, el Reglamento 336/2006 </w:t>
      </w:r>
      <w:r w:rsidRPr="00067DA6">
        <w:rPr>
          <w:rFonts w:ascii="Century Gothic" w:hAnsi="Century Gothic"/>
          <w:i/>
          <w:iCs/>
          <w:color w:val="000000" w:themeColor="text1"/>
          <w:sz w:val="22"/>
          <w:szCs w:val="22"/>
        </w:rPr>
        <w:t>sobre la aplicación en la Comunidad del Código internacional de gestión de la seguridad</w:t>
      </w:r>
      <w:r w:rsidRPr="00067DA6">
        <w:rPr>
          <w:rFonts w:ascii="Century Gothic" w:hAnsi="Century Gothic" w:cs="Cambria"/>
          <w:color w:val="000000" w:themeColor="text1"/>
          <w:sz w:val="22"/>
          <w:szCs w:val="22"/>
        </w:rPr>
        <w:t xml:space="preserve">. Entre los procedimientos específicos del sistema se encontrará expresamente los de suministro de combustible GNL a buques mediante la modalidad STS, </w:t>
      </w:r>
      <w:r w:rsidRPr="00067DA6">
        <w:rPr>
          <w:rFonts w:ascii="Century Gothic" w:hAnsi="Century Gothic"/>
          <w:color w:val="000000" w:themeColor="text1"/>
          <w:spacing w:val="-2"/>
          <w:sz w:val="22"/>
          <w:szCs w:val="22"/>
        </w:rPr>
        <w:t xml:space="preserve">y los cuales abarcan tanto la operativa ordinaria como la </w:t>
      </w:r>
      <w:r w:rsidRPr="00067DA6">
        <w:rPr>
          <w:rFonts w:ascii="Century Gothic" w:hAnsi="Century Gothic"/>
          <w:b/>
          <w:bCs/>
          <w:color w:val="000000" w:themeColor="text1"/>
          <w:spacing w:val="-2"/>
          <w:sz w:val="22"/>
          <w:szCs w:val="22"/>
        </w:rPr>
        <w:t>respuesta ante las emergencias en puerto</w:t>
      </w:r>
      <w:r w:rsidRPr="00067DA6">
        <w:rPr>
          <w:rFonts w:ascii="Century Gothic" w:hAnsi="Century Gothic"/>
          <w:color w:val="000000" w:themeColor="text1"/>
          <w:spacing w:val="-2"/>
          <w:sz w:val="22"/>
          <w:szCs w:val="22"/>
        </w:rPr>
        <w:t>.  En particular, la compañía ISM declara que su tripulación está familiarizada con dichos procedimientos</w:t>
      </w:r>
      <w:r w:rsidR="00067DA6" w:rsidRPr="00067DA6">
        <w:rPr>
          <w:rFonts w:ascii="Century Gothic" w:hAnsi="Century Gothic"/>
          <w:color w:val="000000" w:themeColor="text1"/>
          <w:spacing w:val="-2"/>
          <w:sz w:val="22"/>
          <w:szCs w:val="22"/>
        </w:rPr>
        <w:t>.</w:t>
      </w:r>
    </w:p>
    <w:p w14:paraId="2F39691B" w14:textId="46BB0D21" w:rsidR="003457E7" w:rsidRPr="00067DA6" w:rsidRDefault="003457E7" w:rsidP="006965D8">
      <w:pPr>
        <w:pStyle w:val="Default"/>
        <w:numPr>
          <w:ilvl w:val="3"/>
          <w:numId w:val="21"/>
        </w:numPr>
        <w:spacing w:line="288" w:lineRule="auto"/>
        <w:ind w:left="357" w:hanging="357"/>
        <w:jc w:val="both"/>
        <w:rPr>
          <w:rFonts w:ascii="Century Gothic" w:hAnsi="Century Gothic" w:cs="Cambria"/>
          <w:color w:val="000000" w:themeColor="text1"/>
        </w:rPr>
      </w:pPr>
      <w:r w:rsidRPr="00067DA6">
        <w:rPr>
          <w:rFonts w:ascii="Century Gothic" w:hAnsi="Century Gothic"/>
          <w:b/>
          <w:bCs/>
          <w:color w:val="000000" w:themeColor="text1"/>
          <w:spacing w:val="-2"/>
          <w:sz w:val="22"/>
          <w:szCs w:val="22"/>
        </w:rPr>
        <w:t>Declaración responsable del DPA</w:t>
      </w:r>
      <w:r w:rsidRPr="00067DA6">
        <w:rPr>
          <w:rFonts w:ascii="Century Gothic" w:hAnsi="Century Gothic"/>
          <w:color w:val="000000" w:themeColor="text1"/>
          <w:spacing w:val="-2"/>
          <w:sz w:val="22"/>
          <w:szCs w:val="22"/>
        </w:rPr>
        <w:t xml:space="preserve"> comunicando que la</w:t>
      </w:r>
      <w:r w:rsidR="00911896">
        <w:rPr>
          <w:rFonts w:ascii="Century Gothic" w:hAnsi="Century Gothic"/>
          <w:color w:val="EE0000"/>
          <w:spacing w:val="-2"/>
          <w:sz w:val="22"/>
          <w:szCs w:val="22"/>
        </w:rPr>
        <w:t>s</w:t>
      </w:r>
      <w:r w:rsidRPr="00067DA6">
        <w:rPr>
          <w:rFonts w:ascii="Century Gothic" w:hAnsi="Century Gothic"/>
          <w:color w:val="000000" w:themeColor="text1"/>
          <w:spacing w:val="-2"/>
          <w:sz w:val="22"/>
          <w:szCs w:val="22"/>
        </w:rPr>
        <w:t xml:space="preserve"> </w:t>
      </w:r>
      <w:r w:rsidRPr="00911896">
        <w:rPr>
          <w:rFonts w:ascii="Century Gothic" w:hAnsi="Century Gothic"/>
          <w:color w:val="auto"/>
          <w:spacing w:val="-2"/>
          <w:sz w:val="22"/>
          <w:szCs w:val="22"/>
        </w:rPr>
        <w:t>tripulaci</w:t>
      </w:r>
      <w:r w:rsidR="00911896" w:rsidRPr="00911896">
        <w:rPr>
          <w:rFonts w:ascii="Century Gothic" w:hAnsi="Century Gothic"/>
          <w:color w:val="auto"/>
          <w:spacing w:val="-2"/>
          <w:sz w:val="22"/>
          <w:szCs w:val="22"/>
        </w:rPr>
        <w:t>o</w:t>
      </w:r>
      <w:r w:rsidR="00911896">
        <w:rPr>
          <w:rFonts w:ascii="Century Gothic" w:hAnsi="Century Gothic"/>
          <w:color w:val="auto"/>
          <w:spacing w:val="-2"/>
          <w:sz w:val="22"/>
          <w:szCs w:val="22"/>
        </w:rPr>
        <w:t>n</w:t>
      </w:r>
      <w:r w:rsidR="00911896">
        <w:rPr>
          <w:rFonts w:ascii="Century Gothic" w:hAnsi="Century Gothic"/>
          <w:color w:val="EE0000"/>
          <w:spacing w:val="-2"/>
          <w:sz w:val="22"/>
          <w:szCs w:val="22"/>
        </w:rPr>
        <w:t>es</w:t>
      </w:r>
      <w:r w:rsidRPr="00067DA6">
        <w:rPr>
          <w:rFonts w:ascii="Century Gothic" w:hAnsi="Century Gothic"/>
          <w:color w:val="000000" w:themeColor="text1"/>
          <w:spacing w:val="-2"/>
          <w:sz w:val="22"/>
          <w:szCs w:val="22"/>
        </w:rPr>
        <w:t xml:space="preserve"> asignada</w:t>
      </w:r>
      <w:r w:rsidR="00911896">
        <w:rPr>
          <w:rFonts w:ascii="Century Gothic" w:hAnsi="Century Gothic"/>
          <w:color w:val="000000" w:themeColor="text1"/>
          <w:spacing w:val="-2"/>
          <w:sz w:val="22"/>
          <w:szCs w:val="22"/>
        </w:rPr>
        <w:t>s</w:t>
      </w:r>
      <w:r w:rsidRPr="00067DA6">
        <w:rPr>
          <w:rFonts w:ascii="Century Gothic" w:hAnsi="Century Gothic"/>
          <w:color w:val="000000" w:themeColor="text1"/>
          <w:spacing w:val="-2"/>
          <w:sz w:val="22"/>
          <w:szCs w:val="22"/>
        </w:rPr>
        <w:t xml:space="preserve"> al buque suministrador  ha</w:t>
      </w:r>
      <w:r w:rsidR="00911896">
        <w:rPr>
          <w:rFonts w:ascii="Century Gothic" w:hAnsi="Century Gothic"/>
          <w:color w:val="EE0000"/>
          <w:spacing w:val="-2"/>
          <w:sz w:val="22"/>
          <w:szCs w:val="22"/>
        </w:rPr>
        <w:t>n</w:t>
      </w:r>
      <w:r w:rsidRPr="00067DA6">
        <w:rPr>
          <w:rFonts w:ascii="Century Gothic" w:hAnsi="Century Gothic"/>
          <w:color w:val="000000" w:themeColor="text1"/>
          <w:spacing w:val="-2"/>
          <w:sz w:val="22"/>
          <w:szCs w:val="22"/>
        </w:rPr>
        <w:t xml:space="preserve"> recibido </w:t>
      </w:r>
      <w:r w:rsidRPr="00067DA6">
        <w:rPr>
          <w:rFonts w:ascii="Century Gothic" w:hAnsi="Century Gothic"/>
          <w:b/>
          <w:bCs/>
          <w:color w:val="000000" w:themeColor="text1"/>
          <w:spacing w:val="-2"/>
          <w:sz w:val="22"/>
          <w:szCs w:val="22"/>
        </w:rPr>
        <w:t>formación específica</w:t>
      </w:r>
      <w:r w:rsidRPr="00067DA6">
        <w:rPr>
          <w:rFonts w:ascii="Century Gothic" w:hAnsi="Century Gothic"/>
          <w:color w:val="000000" w:themeColor="text1"/>
          <w:spacing w:val="-2"/>
          <w:sz w:val="22"/>
          <w:szCs w:val="22"/>
        </w:rPr>
        <w:t>, de conformidad con lo establecido en la sección 18.7 del Código IGC y en la regla V/1-2 del Convenio STCW 2010, es decir: formación avanzada IGC para Capitán, oficiales y toda persona directamente responsable de las precauciones y manipulación del gas, y formación básica IGC para los tripulantes que tengan asignados cometidos y responsabilidades específicas relacionados con la carga o el equipo de carga.</w:t>
      </w:r>
      <w:bookmarkStart w:id="44" w:name="_Hlk215577431"/>
    </w:p>
    <w:p w14:paraId="3BEB8180" w14:textId="7733820E" w:rsidR="003457E7" w:rsidRPr="00067DA6" w:rsidRDefault="00CE4FB7" w:rsidP="006965D8">
      <w:pPr>
        <w:pStyle w:val="Default"/>
        <w:numPr>
          <w:ilvl w:val="3"/>
          <w:numId w:val="21"/>
        </w:numPr>
        <w:tabs>
          <w:tab w:val="center" w:pos="4645"/>
        </w:tabs>
        <w:spacing w:line="288" w:lineRule="auto"/>
        <w:ind w:left="357" w:hanging="357"/>
        <w:jc w:val="both"/>
        <w:rPr>
          <w:rFonts w:ascii="Century Gothic" w:hAnsi="Century Gothic" w:cs="Cambria"/>
          <w:b/>
          <w:bCs/>
          <w:color w:val="000000" w:themeColor="text1"/>
        </w:rPr>
      </w:pPr>
      <w:r w:rsidRPr="00067DA6">
        <w:rPr>
          <w:rFonts w:ascii="Century Gothic" w:hAnsi="Century Gothic"/>
          <w:color w:val="000000" w:themeColor="text1"/>
          <w:sz w:val="22"/>
          <w:szCs w:val="22"/>
        </w:rPr>
        <w:t>L</w:t>
      </w:r>
      <w:r w:rsidR="003457E7" w:rsidRPr="00067DA6">
        <w:rPr>
          <w:rFonts w:ascii="Century Gothic" w:hAnsi="Century Gothic"/>
          <w:color w:val="000000" w:themeColor="text1"/>
          <w:sz w:val="22"/>
          <w:szCs w:val="22"/>
        </w:rPr>
        <w:t>a tripulación del buque suministrador</w:t>
      </w:r>
      <w:r w:rsidR="003457E7" w:rsidRPr="00067DA6">
        <w:rPr>
          <w:rFonts w:ascii="Century Gothic" w:hAnsi="Century Gothic" w:cs="Cambria"/>
          <w:color w:val="000000" w:themeColor="text1"/>
          <w:sz w:val="22"/>
          <w:szCs w:val="22"/>
        </w:rPr>
        <w:t xml:space="preserve"> debe ser suficiente para atender simultáneamente tanto la operativa de suministro como el gobierno del buque. En caso contrario, la</w:t>
      </w:r>
      <w:r w:rsidR="003457E7" w:rsidRPr="00067DA6">
        <w:rPr>
          <w:rFonts w:ascii="Century Gothic" w:hAnsi="Century Gothic" w:cs="Cambria"/>
          <w:b/>
          <w:bCs/>
          <w:color w:val="000000" w:themeColor="text1"/>
          <w:sz w:val="22"/>
          <w:szCs w:val="22"/>
        </w:rPr>
        <w:t xml:space="preserve"> Capitanía Marítima podrá suspender las operaciones y exigir el enrole de tripulantes adicionales</w:t>
      </w:r>
      <w:r w:rsidR="003457E7" w:rsidRPr="00067DA6">
        <w:rPr>
          <w:rFonts w:ascii="Century Gothic" w:hAnsi="Century Gothic" w:cs="Cambria"/>
          <w:color w:val="000000" w:themeColor="text1"/>
          <w:sz w:val="22"/>
          <w:szCs w:val="22"/>
        </w:rPr>
        <w:t xml:space="preserve"> a fin de garantizar en todo momento la seguridad de la operativa.</w:t>
      </w:r>
      <w:bookmarkEnd w:id="44"/>
    </w:p>
    <w:p w14:paraId="5EECD978" w14:textId="5486B8F0" w:rsidR="003457E7" w:rsidRPr="00067DA6" w:rsidRDefault="003457E7" w:rsidP="006965D8">
      <w:pPr>
        <w:pStyle w:val="Prrafodelista"/>
        <w:numPr>
          <w:ilvl w:val="3"/>
          <w:numId w:val="21"/>
        </w:numPr>
        <w:tabs>
          <w:tab w:val="center" w:pos="4645"/>
        </w:tabs>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r w:rsidRPr="00067DA6">
        <w:rPr>
          <w:rFonts w:ascii="Century Gothic" w:hAnsi="Century Gothic"/>
          <w:color w:val="000000" w:themeColor="text1"/>
          <w:spacing w:val="-2"/>
        </w:rPr>
        <w:t xml:space="preserve">La compañía dispondrá de una </w:t>
      </w:r>
      <w:r w:rsidRPr="006D571B">
        <w:rPr>
          <w:rFonts w:ascii="Century Gothic" w:hAnsi="Century Gothic"/>
          <w:b/>
          <w:bCs/>
          <w:color w:val="000000" w:themeColor="text1"/>
          <w:spacing w:val="-2"/>
        </w:rPr>
        <w:t>evaluación de riesgos</w:t>
      </w:r>
      <w:r w:rsidRPr="00067DA6">
        <w:rPr>
          <w:rFonts w:ascii="Century Gothic" w:hAnsi="Century Gothic"/>
          <w:color w:val="000000" w:themeColor="text1"/>
          <w:spacing w:val="-2"/>
        </w:rPr>
        <w:t xml:space="preserve"> </w:t>
      </w:r>
      <w:r w:rsidRPr="006D571B">
        <w:rPr>
          <w:rFonts w:ascii="Century Gothic" w:hAnsi="Century Gothic"/>
          <w:color w:val="000000" w:themeColor="text1"/>
          <w:spacing w:val="-2"/>
        </w:rPr>
        <w:t>HAZID/HAZOP de</w:t>
      </w:r>
      <w:r w:rsidRPr="00067DA6">
        <w:rPr>
          <w:rFonts w:ascii="Century Gothic" w:hAnsi="Century Gothic"/>
          <w:color w:val="000000" w:themeColor="text1"/>
          <w:spacing w:val="-2"/>
        </w:rPr>
        <w:t xml:space="preserve"> la operación que inform</w:t>
      </w:r>
      <w:r w:rsidR="00962824" w:rsidRPr="00067DA6">
        <w:rPr>
          <w:rFonts w:ascii="Century Gothic" w:hAnsi="Century Gothic"/>
          <w:color w:val="000000" w:themeColor="text1"/>
          <w:spacing w:val="-2"/>
        </w:rPr>
        <w:t>e</w:t>
      </w:r>
      <w:r w:rsidRPr="00067DA6">
        <w:rPr>
          <w:rFonts w:ascii="Century Gothic" w:hAnsi="Century Gothic"/>
          <w:color w:val="000000" w:themeColor="text1"/>
          <w:spacing w:val="-2"/>
        </w:rPr>
        <w:t xml:space="preserve"> de la viabilidad del abastecimiento entre el buque suministrador y los buques tipo receptores.</w:t>
      </w:r>
      <w:r w:rsidRPr="00067DA6">
        <w:rPr>
          <w:rFonts w:ascii="Century Gothic" w:hAnsi="Century Gothic" w:cs="Cambria"/>
          <w:color w:val="000000" w:themeColor="text1"/>
        </w:rPr>
        <w:t xml:space="preserve"> La evaluación cubrirá la conexión, transferencia y desconexión</w:t>
      </w:r>
      <w:r w:rsidR="00067DA6">
        <w:rPr>
          <w:rFonts w:ascii="Century Gothic" w:hAnsi="Century Gothic" w:cs="Cambria"/>
          <w:color w:val="000000" w:themeColor="text1"/>
        </w:rPr>
        <w:t xml:space="preserve"> y</w:t>
      </w:r>
      <w:r w:rsidRPr="00067DA6">
        <w:rPr>
          <w:rFonts w:ascii="Century Gothic" w:hAnsi="Century Gothic" w:cs="Cambria"/>
          <w:color w:val="000000" w:themeColor="text1"/>
        </w:rPr>
        <w:t xml:space="preserve"> debe ser elaborada por una compañía que cuente con </w:t>
      </w:r>
      <w:r w:rsidR="003300EA" w:rsidRPr="00067DA6">
        <w:rPr>
          <w:rFonts w:ascii="Century Gothic" w:hAnsi="Century Gothic" w:cs="Cambria"/>
          <w:color w:val="000000" w:themeColor="text1"/>
        </w:rPr>
        <w:t xml:space="preserve">reconocido </w:t>
      </w:r>
      <w:r w:rsidR="003300EA" w:rsidRPr="00067DA6">
        <w:rPr>
          <w:rFonts w:ascii="Century Gothic" w:hAnsi="Century Gothic" w:cs="Cambria"/>
          <w:i/>
          <w:iCs/>
          <w:color w:val="000000" w:themeColor="text1"/>
        </w:rPr>
        <w:t>expertise</w:t>
      </w:r>
      <w:r w:rsidRPr="00067DA6">
        <w:rPr>
          <w:rFonts w:ascii="Century Gothic" w:hAnsi="Century Gothic" w:cs="Cambria"/>
          <w:color w:val="000000" w:themeColor="text1"/>
        </w:rPr>
        <w:t xml:space="preserve"> en el sector marítimo.</w:t>
      </w:r>
    </w:p>
    <w:p w14:paraId="3F5FA856" w14:textId="17F644C5" w:rsidR="003457E7" w:rsidRPr="0074316A" w:rsidRDefault="003457E7" w:rsidP="006965D8">
      <w:pPr>
        <w:pStyle w:val="Prrafodelista"/>
        <w:numPr>
          <w:ilvl w:val="3"/>
          <w:numId w:val="21"/>
        </w:numPr>
        <w:tabs>
          <w:tab w:val="center" w:pos="4645"/>
        </w:tabs>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bookmarkStart w:id="45" w:name="_Hlk215574384"/>
      <w:r w:rsidRPr="0099142F">
        <w:rPr>
          <w:rFonts w:ascii="Century Gothic" w:hAnsi="Century Gothic"/>
          <w:color w:val="000000" w:themeColor="text1"/>
          <w:spacing w:val="-2"/>
        </w:rPr>
        <w:lastRenderedPageBreak/>
        <w:t xml:space="preserve">El buque dispone </w:t>
      </w:r>
      <w:r>
        <w:rPr>
          <w:rFonts w:ascii="Century Gothic" w:hAnsi="Century Gothic"/>
          <w:color w:val="000000" w:themeColor="text1"/>
          <w:spacing w:val="-2"/>
        </w:rPr>
        <w:t>de</w:t>
      </w:r>
      <w:r w:rsidRPr="0099142F">
        <w:rPr>
          <w:rFonts w:ascii="Century Gothic" w:hAnsi="Century Gothic"/>
          <w:color w:val="000000" w:themeColor="text1"/>
          <w:spacing w:val="-2"/>
        </w:rPr>
        <w:t xml:space="preserve"> un modelo de </w:t>
      </w:r>
      <w:r w:rsidRPr="0099142F">
        <w:rPr>
          <w:rFonts w:ascii="Century Gothic" w:hAnsi="Century Gothic"/>
          <w:b/>
          <w:bCs/>
          <w:i/>
          <w:iCs/>
          <w:color w:val="000000" w:themeColor="text1"/>
          <w:spacing w:val="-2"/>
        </w:rPr>
        <w:t>Joint Plan of Bunker Operations</w:t>
      </w:r>
      <w:r w:rsidRPr="0099142F">
        <w:rPr>
          <w:rFonts w:ascii="Century Gothic" w:hAnsi="Century Gothic"/>
          <w:color w:val="000000" w:themeColor="text1"/>
          <w:spacing w:val="-2"/>
        </w:rPr>
        <w:t xml:space="preserve"> que </w:t>
      </w:r>
      <w:r w:rsidRPr="0074316A">
        <w:rPr>
          <w:rFonts w:ascii="Century Gothic" w:hAnsi="Century Gothic"/>
          <w:b/>
          <w:bCs/>
          <w:color w:val="000000" w:themeColor="text1"/>
          <w:spacing w:val="-2"/>
        </w:rPr>
        <w:t xml:space="preserve">cubre toda la información recogida en la presente instrucción de servicio y en la </w:t>
      </w:r>
      <w:r w:rsidRPr="0074316A">
        <w:rPr>
          <w:rFonts w:ascii="Century Gothic" w:hAnsi="Century Gothic"/>
          <w:b/>
          <w:bCs/>
          <w:i/>
          <w:iCs/>
          <w:color w:val="000000" w:themeColor="text1"/>
          <w:spacing w:val="-2"/>
        </w:rPr>
        <w:t xml:space="preserve">bunker checklist </w:t>
      </w:r>
      <w:r w:rsidRPr="0074316A">
        <w:rPr>
          <w:rFonts w:ascii="Century Gothic" w:hAnsi="Century Gothic"/>
          <w:b/>
          <w:bCs/>
          <w:color w:val="000000" w:themeColor="text1"/>
          <w:spacing w:val="-2"/>
        </w:rPr>
        <w:t>de la IAPH.</w:t>
      </w:r>
    </w:p>
    <w:p w14:paraId="53C9B99E" w14:textId="5FBA87E5" w:rsidR="003457E7" w:rsidRPr="0099142F" w:rsidRDefault="003457E7" w:rsidP="006965D8">
      <w:pPr>
        <w:pStyle w:val="Prrafodelista"/>
        <w:numPr>
          <w:ilvl w:val="3"/>
          <w:numId w:val="21"/>
        </w:numPr>
        <w:tabs>
          <w:tab w:val="center" w:pos="4645"/>
        </w:tabs>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r w:rsidRPr="0099142F">
        <w:rPr>
          <w:rFonts w:ascii="Century Gothic" w:hAnsi="Century Gothic"/>
          <w:color w:val="000000" w:themeColor="text1"/>
          <w:spacing w:val="-2"/>
        </w:rPr>
        <w:t xml:space="preserve">El buque dispone de un </w:t>
      </w:r>
      <w:r w:rsidRPr="0099142F">
        <w:rPr>
          <w:rFonts w:ascii="Century Gothic" w:hAnsi="Century Gothic"/>
          <w:b/>
          <w:bCs/>
          <w:color w:val="000000" w:themeColor="text1"/>
          <w:spacing w:val="-2"/>
        </w:rPr>
        <w:t xml:space="preserve">plan de gestión del </w:t>
      </w:r>
      <w:r w:rsidRPr="004F5350">
        <w:rPr>
          <w:rFonts w:ascii="Century Gothic" w:hAnsi="Century Gothic"/>
          <w:b/>
          <w:bCs/>
          <w:i/>
          <w:iCs/>
          <w:color w:val="000000" w:themeColor="text1"/>
          <w:spacing w:val="-2"/>
        </w:rPr>
        <w:t xml:space="preserve">Boil-off </w:t>
      </w:r>
      <w:r w:rsidR="004F5350" w:rsidRPr="004F5350">
        <w:rPr>
          <w:rFonts w:ascii="Century Gothic" w:hAnsi="Century Gothic"/>
          <w:b/>
          <w:bCs/>
          <w:i/>
          <w:iCs/>
          <w:color w:val="000000" w:themeColor="text1"/>
          <w:spacing w:val="-2"/>
        </w:rPr>
        <w:t>gas</w:t>
      </w:r>
      <w:r w:rsidR="004F5350">
        <w:rPr>
          <w:rFonts w:ascii="Century Gothic" w:hAnsi="Century Gothic"/>
          <w:color w:val="000000" w:themeColor="text1"/>
          <w:spacing w:val="-2"/>
        </w:rPr>
        <w:t xml:space="preserve"> </w:t>
      </w:r>
      <w:r w:rsidRPr="0099142F">
        <w:rPr>
          <w:rFonts w:ascii="Century Gothic" w:hAnsi="Century Gothic"/>
          <w:color w:val="000000" w:themeColor="text1"/>
          <w:spacing w:val="-2"/>
        </w:rPr>
        <w:t xml:space="preserve">que cubre todas las fases de las operaciones de suministro de combustible, así como las correspondientes a su estancia en puerto. </w:t>
      </w:r>
    </w:p>
    <w:bookmarkEnd w:id="45"/>
    <w:p w14:paraId="21568218" w14:textId="17E3DDE8" w:rsidR="003457E7" w:rsidRPr="00067DA6" w:rsidRDefault="003457E7" w:rsidP="006965D8">
      <w:pPr>
        <w:pStyle w:val="Prrafodelista"/>
        <w:numPr>
          <w:ilvl w:val="3"/>
          <w:numId w:val="21"/>
        </w:numPr>
        <w:tabs>
          <w:tab w:val="center" w:pos="4645"/>
        </w:tabs>
        <w:autoSpaceDE w:val="0"/>
        <w:autoSpaceDN w:val="0"/>
        <w:adjustRightInd w:val="0"/>
        <w:spacing w:after="0" w:line="288" w:lineRule="auto"/>
        <w:ind w:left="357" w:hanging="357"/>
        <w:jc w:val="both"/>
        <w:rPr>
          <w:rFonts w:ascii="Century Gothic" w:hAnsi="Century Gothic" w:cs="Cambria"/>
          <w:b/>
          <w:bCs/>
          <w:color w:val="000000" w:themeColor="text1"/>
          <w:lang w:eastAsia="es-ES"/>
        </w:rPr>
      </w:pPr>
      <w:r w:rsidRPr="00067DA6">
        <w:rPr>
          <w:rFonts w:ascii="Century Gothic" w:hAnsi="Century Gothic"/>
          <w:b/>
          <w:bCs/>
          <w:color w:val="000000" w:themeColor="text1"/>
        </w:rPr>
        <w:t>El buque dispone de un Estudio de amarre</w:t>
      </w:r>
      <w:r w:rsidRPr="00067DA6">
        <w:rPr>
          <w:rFonts w:ascii="Century Gothic" w:hAnsi="Century Gothic"/>
          <w:color w:val="000000" w:themeColor="text1"/>
        </w:rPr>
        <w:t xml:space="preserve"> que describe los medios de amarre y las defensas instaladas, y que incluya una </w:t>
      </w:r>
      <w:r w:rsidRPr="00067DA6">
        <w:rPr>
          <w:rFonts w:ascii="Century Gothic" w:hAnsi="Century Gothic"/>
          <w:color w:val="000000" w:themeColor="text1"/>
          <w:u w:val="single"/>
        </w:rPr>
        <w:t>metodología de estudio</w:t>
      </w:r>
      <w:r w:rsidRPr="00067DA6">
        <w:rPr>
          <w:rFonts w:ascii="Century Gothic" w:hAnsi="Century Gothic"/>
          <w:color w:val="000000" w:themeColor="text1"/>
        </w:rPr>
        <w:t xml:space="preserve"> de la viabilidad del amarre: presentando un ejemplo en aguas protegidas y otro en la zona de fondeo</w:t>
      </w:r>
      <w:r w:rsidR="00067DA6" w:rsidRPr="00067DA6">
        <w:rPr>
          <w:rFonts w:ascii="Century Gothic" w:hAnsi="Century Gothic"/>
          <w:color w:val="000000" w:themeColor="text1"/>
        </w:rPr>
        <w:t>.</w:t>
      </w:r>
    </w:p>
    <w:p w14:paraId="18ECD813" w14:textId="5F019233" w:rsidR="009C710D" w:rsidRPr="00A90C17" w:rsidRDefault="003457E7" w:rsidP="006965D8">
      <w:pPr>
        <w:pStyle w:val="Prrafodelista"/>
        <w:numPr>
          <w:ilvl w:val="3"/>
          <w:numId w:val="21"/>
        </w:numPr>
        <w:tabs>
          <w:tab w:val="left" w:pos="1613"/>
          <w:tab w:val="center" w:pos="4645"/>
        </w:tabs>
        <w:autoSpaceDE w:val="0"/>
        <w:autoSpaceDN w:val="0"/>
        <w:adjustRightInd w:val="0"/>
        <w:spacing w:after="0" w:line="288" w:lineRule="auto"/>
        <w:ind w:left="357" w:hanging="357"/>
        <w:jc w:val="both"/>
        <w:rPr>
          <w:lang w:eastAsia="es-ES"/>
        </w:rPr>
      </w:pPr>
      <w:r w:rsidRPr="00067DA6">
        <w:rPr>
          <w:rFonts w:ascii="Century Gothic" w:hAnsi="Century Gothic" w:cstheme="majorBidi"/>
          <w:color w:val="000000" w:themeColor="text1"/>
        </w:rPr>
        <w:t>Se adopta</w:t>
      </w:r>
      <w:r w:rsidR="00BE762E">
        <w:rPr>
          <w:rFonts w:ascii="Century Gothic" w:hAnsi="Century Gothic" w:cstheme="majorBidi"/>
          <w:color w:val="000000" w:themeColor="text1"/>
        </w:rPr>
        <w:t>rá</w:t>
      </w:r>
      <w:r w:rsidRPr="00067DA6">
        <w:rPr>
          <w:rFonts w:ascii="Century Gothic" w:hAnsi="Century Gothic" w:cstheme="majorBidi"/>
          <w:color w:val="000000" w:themeColor="text1"/>
        </w:rPr>
        <w:t xml:space="preserve"> la última versión actualizada de la</w:t>
      </w:r>
      <w:r w:rsidRPr="00067DA6">
        <w:rPr>
          <w:rFonts w:ascii="Century Gothic" w:hAnsi="Century Gothic" w:cstheme="majorBidi"/>
          <w:b/>
          <w:bCs/>
          <w:color w:val="000000" w:themeColor="text1"/>
        </w:rPr>
        <w:t xml:space="preserve"> lista de comprobación de seguridad actualizada para suministrar combustible de GNL en la modalidad STS publicada por la IAPH</w:t>
      </w:r>
      <w:r w:rsidRPr="00067DA6">
        <w:rPr>
          <w:rFonts w:ascii="Century Gothic" w:hAnsi="Century Gothic" w:cstheme="majorBidi"/>
          <w:color w:val="000000" w:themeColor="text1"/>
        </w:rPr>
        <w:t>. La compañía mantendrá a disposición de la administración portuaria y marítima las listas de comprobación y demás documentos relativos a cada operación de suministro de combustible.</w:t>
      </w:r>
    </w:p>
    <w:p w14:paraId="0B632F3F" w14:textId="77777777" w:rsidR="00A90C17" w:rsidRDefault="00A90C17" w:rsidP="00A90C17">
      <w:pPr>
        <w:tabs>
          <w:tab w:val="left" w:pos="1613"/>
          <w:tab w:val="center" w:pos="4645"/>
        </w:tabs>
        <w:autoSpaceDE w:val="0"/>
        <w:autoSpaceDN w:val="0"/>
        <w:adjustRightInd w:val="0"/>
        <w:spacing w:after="0" w:line="288" w:lineRule="auto"/>
        <w:jc w:val="both"/>
        <w:rPr>
          <w:lang w:eastAsia="es-ES"/>
        </w:rPr>
      </w:pPr>
    </w:p>
    <w:p w14:paraId="4FF30A88" w14:textId="77777777" w:rsidR="00A90C17" w:rsidRDefault="00A90C17" w:rsidP="00A90C17">
      <w:pPr>
        <w:tabs>
          <w:tab w:val="left" w:pos="1613"/>
          <w:tab w:val="center" w:pos="4645"/>
        </w:tabs>
        <w:autoSpaceDE w:val="0"/>
        <w:autoSpaceDN w:val="0"/>
        <w:adjustRightInd w:val="0"/>
        <w:spacing w:after="0" w:line="288" w:lineRule="auto"/>
        <w:jc w:val="both"/>
        <w:rPr>
          <w:lang w:eastAsia="es-ES"/>
        </w:rPr>
      </w:pPr>
    </w:p>
    <w:p w14:paraId="07D1CCBF" w14:textId="644FB4B2" w:rsidR="00A90C17" w:rsidRPr="00B64CCB" w:rsidRDefault="00A90C17" w:rsidP="006965D8">
      <w:pPr>
        <w:pStyle w:val="Prrafodelista"/>
        <w:numPr>
          <w:ilvl w:val="1"/>
          <w:numId w:val="6"/>
        </w:numPr>
        <w:tabs>
          <w:tab w:val="center" w:pos="4645"/>
        </w:tabs>
        <w:autoSpaceDE w:val="0"/>
        <w:autoSpaceDN w:val="0"/>
        <w:adjustRightInd w:val="0"/>
        <w:spacing w:after="0" w:line="288" w:lineRule="auto"/>
        <w:ind w:left="426" w:hanging="284"/>
        <w:rPr>
          <w:rFonts w:ascii="Century Gothic" w:hAnsi="Century Gothic" w:cs="Cambria"/>
          <w:b/>
          <w:bCs/>
          <w:color w:val="000000" w:themeColor="text1"/>
          <w:lang w:eastAsia="es-ES"/>
        </w:rPr>
      </w:pPr>
      <w:r w:rsidRPr="00B64CCB">
        <w:rPr>
          <w:rFonts w:ascii="Century Gothic" w:hAnsi="Century Gothic" w:cs="Cambria"/>
          <w:b/>
          <w:bCs/>
          <w:color w:val="000000" w:themeColor="text1"/>
          <w:lang w:eastAsia="es-ES"/>
        </w:rPr>
        <w:t xml:space="preserve">Requisitos </w:t>
      </w:r>
      <w:r w:rsidR="00B64CCB">
        <w:rPr>
          <w:rFonts w:ascii="Century Gothic" w:hAnsi="Century Gothic" w:cs="Cambria"/>
          <w:b/>
          <w:bCs/>
          <w:color w:val="000000" w:themeColor="text1"/>
          <w:lang w:eastAsia="es-ES"/>
        </w:rPr>
        <w:t xml:space="preserve">a considerar </w:t>
      </w:r>
      <w:r w:rsidR="005054EC">
        <w:rPr>
          <w:rFonts w:ascii="Century Gothic" w:hAnsi="Century Gothic" w:cs="Cambria"/>
          <w:b/>
          <w:bCs/>
          <w:color w:val="000000" w:themeColor="text1"/>
          <w:lang w:eastAsia="es-ES"/>
        </w:rPr>
        <w:t xml:space="preserve">en la operaciones </w:t>
      </w:r>
      <w:r w:rsidR="00B64CCB">
        <w:rPr>
          <w:rFonts w:ascii="Century Gothic" w:hAnsi="Century Gothic" w:cs="Cambria"/>
          <w:b/>
          <w:bCs/>
          <w:color w:val="000000" w:themeColor="text1"/>
          <w:lang w:eastAsia="es-ES"/>
        </w:rPr>
        <w:t>en relación con</w:t>
      </w:r>
      <w:r w:rsidR="00B64CCB" w:rsidRPr="00B64CCB">
        <w:rPr>
          <w:rFonts w:ascii="Century Gothic" w:hAnsi="Century Gothic" w:cs="Cambria"/>
          <w:b/>
          <w:bCs/>
          <w:color w:val="000000" w:themeColor="text1"/>
          <w:lang w:eastAsia="es-ES"/>
        </w:rPr>
        <w:t xml:space="preserve"> el buque receptor</w:t>
      </w:r>
    </w:p>
    <w:p w14:paraId="71761D97" w14:textId="77777777" w:rsidR="00B64CCB" w:rsidRPr="00B64CCB" w:rsidRDefault="00B64CCB" w:rsidP="00B64CCB">
      <w:pPr>
        <w:tabs>
          <w:tab w:val="center" w:pos="4645"/>
        </w:tabs>
        <w:autoSpaceDE w:val="0"/>
        <w:autoSpaceDN w:val="0"/>
        <w:adjustRightInd w:val="0"/>
        <w:spacing w:after="0" w:line="288" w:lineRule="auto"/>
        <w:ind w:left="1440"/>
        <w:rPr>
          <w:rFonts w:ascii="Century Gothic" w:hAnsi="Century Gothic" w:cs="Cambria"/>
          <w:b/>
          <w:bCs/>
          <w:color w:val="000000" w:themeColor="text1"/>
          <w:lang w:eastAsia="es-ES"/>
        </w:rPr>
      </w:pPr>
    </w:p>
    <w:p w14:paraId="53143227" w14:textId="77777777" w:rsidR="00A90C17" w:rsidRPr="00A90C17" w:rsidRDefault="00A90C17" w:rsidP="006965D8">
      <w:pPr>
        <w:numPr>
          <w:ilvl w:val="2"/>
          <w:numId w:val="45"/>
        </w:num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r w:rsidRPr="00A90C17">
        <w:rPr>
          <w:rFonts w:ascii="Century Gothic" w:hAnsi="Century Gothic" w:cstheme="majorBidi"/>
          <w:color w:val="000000" w:themeColor="text1"/>
        </w:rPr>
        <w:t xml:space="preserve">El buque receptor contará con el certificado de clase en vigor, en el que conste la anotación para utilizar GNL como combustible.  </w:t>
      </w:r>
    </w:p>
    <w:p w14:paraId="48D4DB42" w14:textId="77777777" w:rsidR="00A90C17" w:rsidRPr="00A90C17" w:rsidRDefault="00A90C17" w:rsidP="006965D8">
      <w:pPr>
        <w:numPr>
          <w:ilvl w:val="2"/>
          <w:numId w:val="45"/>
        </w:num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r w:rsidRPr="00A90C17">
        <w:rPr>
          <w:rFonts w:ascii="Century Gothic" w:hAnsi="Century Gothic" w:cstheme="majorBidi"/>
          <w:color w:val="000000" w:themeColor="text1"/>
        </w:rPr>
        <w:t xml:space="preserve">Los buques receptores de pasaje deberán cumplir con la parte G del Capítulo II-1 del Convenio SOLAS, lo cual debe quedar reflejado en la casilla correspondiente de sus respectivos Certificados Internacionales de Seguridad de Buques de Pasaje. </w:t>
      </w:r>
    </w:p>
    <w:p w14:paraId="28EC4BB2" w14:textId="77777777" w:rsidR="00A90C17" w:rsidRPr="00A90C17" w:rsidRDefault="00A90C17" w:rsidP="006965D8">
      <w:pPr>
        <w:numPr>
          <w:ilvl w:val="2"/>
          <w:numId w:val="45"/>
        </w:num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r w:rsidRPr="00A90C17">
        <w:rPr>
          <w:rFonts w:ascii="Century Gothic" w:hAnsi="Century Gothic" w:cstheme="majorBidi"/>
          <w:color w:val="000000" w:themeColor="text1"/>
        </w:rPr>
        <w:t xml:space="preserve">Los buques receptores que sean Naves de Gran Velocidad cumplirán con la parte G del Capítulo II-1 del Convenio SOLAS, es decir, deberá cumplir con lo prescrito en el Código IGF, lo cual deberá quedar acreditado mediante un escrito oficial de la Administración de bandera. </w:t>
      </w:r>
    </w:p>
    <w:p w14:paraId="0C20A18A" w14:textId="77777777" w:rsidR="00A90C17" w:rsidRPr="00A90C17" w:rsidRDefault="00A90C17" w:rsidP="006965D8">
      <w:pPr>
        <w:numPr>
          <w:ilvl w:val="2"/>
          <w:numId w:val="45"/>
        </w:num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r w:rsidRPr="00A90C17">
        <w:rPr>
          <w:rFonts w:ascii="Century Gothic" w:hAnsi="Century Gothic" w:cstheme="majorBidi"/>
          <w:color w:val="000000" w:themeColor="text1"/>
        </w:rPr>
        <w:t xml:space="preserve">Los buques receptores de carga deberán cumplir con la parte G del Capítulo II-1 del Convenio SOLAS, lo cual debe quedar reflejado en la casilla correspondiente de sus respectivos Certificados Internacionales de Seguridad de Buques de Carga. </w:t>
      </w:r>
    </w:p>
    <w:p w14:paraId="5AE1F59C" w14:textId="77777777" w:rsidR="00A90C17" w:rsidRPr="00A90C17" w:rsidRDefault="00A90C17" w:rsidP="006965D8">
      <w:pPr>
        <w:numPr>
          <w:ilvl w:val="2"/>
          <w:numId w:val="45"/>
        </w:num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r w:rsidRPr="00A90C17">
        <w:rPr>
          <w:rFonts w:ascii="Century Gothic" w:hAnsi="Century Gothic" w:cstheme="majorBidi"/>
          <w:color w:val="000000" w:themeColor="text1"/>
        </w:rPr>
        <w:t xml:space="preserve">La tripulación de los buques receptores ha recibido formación específica, de conformidad con lo establecido en la Parte D del Código IGF y en la regla V/3 del Convenio STCW, es decir, formación avanzada IGF para Capitán, oficiales de máquinas y toda persona directamente responsable de las precauciones y utilización del gas, y formación básica IGF para los tripulantes encargados de cometidos específicos de seguridad vinculados a las precauciones debidas al gas, su utilización o respuesta en caso de emergencia. </w:t>
      </w:r>
    </w:p>
    <w:p w14:paraId="299850A4" w14:textId="77777777" w:rsidR="00A90C17" w:rsidRPr="00A90C17" w:rsidRDefault="00A90C17" w:rsidP="006965D8">
      <w:pPr>
        <w:numPr>
          <w:ilvl w:val="2"/>
          <w:numId w:val="45"/>
        </w:num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r w:rsidRPr="00A90C17">
        <w:rPr>
          <w:rFonts w:ascii="Century Gothic" w:hAnsi="Century Gothic" w:cstheme="majorBidi"/>
          <w:color w:val="000000" w:themeColor="text1"/>
        </w:rPr>
        <w:t xml:space="preserve"> El buque receptor dentro de su Plan de Gestión de la Seguridad Operacional del Buque, dispone de procedimientos específicos para la recepción de combustible de GNL, que cubre la operativa normal y direcciona satisfactoriamente las diferentes situaciones de emergencia que puedan producirse.</w:t>
      </w:r>
    </w:p>
    <w:p w14:paraId="42AF9BAD" w14:textId="77777777" w:rsidR="00A90C17" w:rsidRPr="00B64CCB" w:rsidRDefault="00A90C17" w:rsidP="00B64CCB">
      <w:pPr>
        <w:tabs>
          <w:tab w:val="left" w:pos="1613"/>
          <w:tab w:val="center" w:pos="4645"/>
        </w:tabs>
        <w:autoSpaceDE w:val="0"/>
        <w:autoSpaceDN w:val="0"/>
        <w:adjustRightInd w:val="0"/>
        <w:spacing w:after="0" w:line="288" w:lineRule="auto"/>
        <w:ind w:left="142" w:hanging="142"/>
        <w:jc w:val="both"/>
        <w:rPr>
          <w:rFonts w:ascii="Century Gothic" w:hAnsi="Century Gothic" w:cstheme="majorBidi"/>
          <w:color w:val="000000" w:themeColor="text1"/>
        </w:rPr>
      </w:pPr>
    </w:p>
    <w:p w14:paraId="632B18C8" w14:textId="7E3FB5DD" w:rsidR="009C710D" w:rsidRDefault="009C710D" w:rsidP="009C710D">
      <w:pPr>
        <w:pStyle w:val="Ttulo1"/>
        <w:jc w:val="both"/>
        <w:rPr>
          <w:rFonts w:ascii="Century Gothic" w:hAnsi="Century Gothic" w:cstheme="minorHAnsi"/>
        </w:rPr>
      </w:pPr>
      <w:bookmarkStart w:id="46" w:name="_Toc230677715"/>
      <w:r>
        <w:rPr>
          <w:rFonts w:ascii="Century Gothic" w:hAnsi="Century Gothic" w:cstheme="minorHAnsi"/>
        </w:rPr>
        <w:lastRenderedPageBreak/>
        <w:t>AN</w:t>
      </w:r>
      <w:r w:rsidRPr="00F062F1">
        <w:rPr>
          <w:rFonts w:ascii="Century Gothic" w:hAnsi="Century Gothic" w:cstheme="minorHAnsi"/>
        </w:rPr>
        <w:t>EXO I</w:t>
      </w:r>
      <w:r>
        <w:rPr>
          <w:rFonts w:ascii="Century Gothic" w:hAnsi="Century Gothic" w:cstheme="minorHAnsi"/>
        </w:rPr>
        <w:t xml:space="preserve"> MODALIDAD TTS</w:t>
      </w:r>
      <w:r w:rsidRPr="00F062F1">
        <w:rPr>
          <w:rFonts w:ascii="Century Gothic" w:hAnsi="Century Gothic" w:cstheme="minorHAnsi"/>
        </w:rPr>
        <w:t xml:space="preserve">: </w:t>
      </w:r>
      <w:r>
        <w:rPr>
          <w:rFonts w:ascii="Century Gothic" w:hAnsi="Century Gothic" w:cstheme="minorHAnsi"/>
        </w:rPr>
        <w:t>CONDICIONES TÉCNICAS PARA LA PRESTACIÓN DEL SERVICIO DE SUMINISTRO DE GNL</w:t>
      </w:r>
      <w:r w:rsidR="002F6EC1">
        <w:rPr>
          <w:rFonts w:ascii="Century Gothic" w:hAnsi="Century Gothic" w:cstheme="minorHAnsi"/>
        </w:rPr>
        <w:t>, BioGNL y e-GNL</w:t>
      </w:r>
      <w:r>
        <w:rPr>
          <w:rFonts w:ascii="Century Gothic" w:hAnsi="Century Gothic" w:cstheme="minorHAnsi"/>
        </w:rPr>
        <w:t xml:space="preserve"> A BUQUES COMO COMBUSTIBLE</w:t>
      </w:r>
      <w:bookmarkEnd w:id="46"/>
    </w:p>
    <w:p w14:paraId="0762924B" w14:textId="77777777" w:rsidR="009C710D" w:rsidRDefault="009C710D" w:rsidP="009C710D">
      <w:pPr>
        <w:spacing w:line="276" w:lineRule="auto"/>
        <w:jc w:val="both"/>
        <w:rPr>
          <w:rFonts w:ascii="Century Gothic" w:eastAsia="Times New Roman" w:hAnsi="Century Gothic" w:cstheme="minorHAnsi"/>
          <w:bCs/>
          <w:lang w:eastAsia="es-ES"/>
        </w:rPr>
      </w:pPr>
    </w:p>
    <w:p w14:paraId="58EF4636" w14:textId="77777777" w:rsidR="001C5F3C" w:rsidRDefault="001C5F3C" w:rsidP="006965D8">
      <w:pPr>
        <w:pStyle w:val="Prrafodelista"/>
        <w:numPr>
          <w:ilvl w:val="0"/>
          <w:numId w:val="68"/>
        </w:numPr>
        <w:spacing w:line="278" w:lineRule="auto"/>
        <w:jc w:val="both"/>
        <w:rPr>
          <w:rFonts w:ascii="Century Gothic" w:hAnsi="Century Gothic"/>
          <w:b/>
          <w:bCs/>
        </w:rPr>
      </w:pPr>
      <w:r w:rsidRPr="00D263BB">
        <w:rPr>
          <w:rFonts w:ascii="Century Gothic" w:hAnsi="Century Gothic"/>
          <w:b/>
          <w:bCs/>
        </w:rPr>
        <w:t>Procedimiento para</w:t>
      </w:r>
      <w:r>
        <w:rPr>
          <w:rFonts w:ascii="Century Gothic" w:hAnsi="Century Gothic"/>
          <w:b/>
          <w:bCs/>
        </w:rPr>
        <w:t xml:space="preserve"> la obtención de</w:t>
      </w:r>
      <w:r w:rsidRPr="00D263BB">
        <w:rPr>
          <w:rFonts w:ascii="Century Gothic" w:hAnsi="Century Gothic"/>
          <w:b/>
          <w:bCs/>
        </w:rPr>
        <w:t xml:space="preserve"> </w:t>
      </w:r>
      <w:r>
        <w:rPr>
          <w:rFonts w:ascii="Century Gothic" w:hAnsi="Century Gothic"/>
          <w:b/>
          <w:bCs/>
        </w:rPr>
        <w:t>una</w:t>
      </w:r>
      <w:r w:rsidRPr="00D263BB">
        <w:rPr>
          <w:rFonts w:ascii="Century Gothic" w:hAnsi="Century Gothic"/>
          <w:b/>
          <w:bCs/>
        </w:rPr>
        <w:t xml:space="preserve"> validación técnica de suministro </w:t>
      </w:r>
      <w:r>
        <w:rPr>
          <w:rFonts w:ascii="Century Gothic" w:hAnsi="Century Gothic"/>
          <w:b/>
          <w:bCs/>
        </w:rPr>
        <w:t>de GNL TTS/MTTS</w:t>
      </w:r>
    </w:p>
    <w:p w14:paraId="6E657628" w14:textId="77777777" w:rsidR="001C5F3C" w:rsidRPr="001F7DB4" w:rsidRDefault="001C5F3C" w:rsidP="001C5F3C">
      <w:pPr>
        <w:pStyle w:val="Prrafodelista"/>
        <w:spacing w:line="278" w:lineRule="auto"/>
        <w:jc w:val="both"/>
        <w:rPr>
          <w:rFonts w:ascii="Century Gothic" w:hAnsi="Century Gothic"/>
          <w:b/>
          <w:bCs/>
        </w:rPr>
      </w:pPr>
    </w:p>
    <w:p w14:paraId="4572D5FD" w14:textId="4CE03485" w:rsidR="001C5F3C" w:rsidRPr="001F7DB4" w:rsidRDefault="001C5F3C" w:rsidP="006965D8">
      <w:pPr>
        <w:pStyle w:val="Prrafodelista"/>
        <w:numPr>
          <w:ilvl w:val="0"/>
          <w:numId w:val="69"/>
        </w:numPr>
        <w:spacing w:line="278" w:lineRule="auto"/>
        <w:jc w:val="both"/>
        <w:rPr>
          <w:rFonts w:ascii="Century Gothic" w:hAnsi="Century Gothic"/>
          <w:b/>
          <w:bCs/>
        </w:rPr>
      </w:pPr>
      <w:r w:rsidRPr="001F7DB4">
        <w:rPr>
          <w:rFonts w:ascii="Century Gothic" w:hAnsi="Century Gothic"/>
          <w:b/>
          <w:bCs/>
        </w:rPr>
        <w:t>Exigencia de otorgamiento previo de una autorización de servicio comercial</w:t>
      </w:r>
    </w:p>
    <w:p w14:paraId="618835AE" w14:textId="77777777" w:rsidR="001C5F3C" w:rsidRDefault="001C5F3C" w:rsidP="001C5F3C">
      <w:pPr>
        <w:spacing w:after="0" w:line="276" w:lineRule="auto"/>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Todas las partes</w:t>
      </w:r>
      <w:r w:rsidRPr="00974341">
        <w:rPr>
          <w:rFonts w:ascii="Century Gothic" w:eastAsia="Times New Roman" w:hAnsi="Century Gothic" w:cstheme="minorHAnsi"/>
          <w:bCs/>
          <w:lang w:eastAsia="es-ES"/>
        </w:rPr>
        <w:t xml:space="preserve"> </w:t>
      </w:r>
      <w:r>
        <w:rPr>
          <w:rFonts w:ascii="Century Gothic" w:eastAsia="Times New Roman" w:hAnsi="Century Gothic" w:cstheme="minorHAnsi"/>
          <w:bCs/>
          <w:lang w:eastAsia="es-ES"/>
        </w:rPr>
        <w:t xml:space="preserve">mencionadas en este Anexo I </w:t>
      </w:r>
      <w:r w:rsidRPr="00974341">
        <w:rPr>
          <w:rFonts w:ascii="Century Gothic" w:eastAsia="Times New Roman" w:hAnsi="Century Gothic" w:cstheme="minorHAnsi"/>
          <w:bCs/>
          <w:lang w:eastAsia="es-ES"/>
        </w:rPr>
        <w:t>deberán acreditar</w:t>
      </w:r>
      <w:r>
        <w:rPr>
          <w:rFonts w:ascii="Century Gothic" w:eastAsia="Times New Roman" w:hAnsi="Century Gothic" w:cstheme="minorHAnsi"/>
          <w:bCs/>
          <w:lang w:eastAsia="es-ES"/>
        </w:rPr>
        <w:t xml:space="preserve"> </w:t>
      </w:r>
      <w:r w:rsidRPr="00974341">
        <w:rPr>
          <w:rFonts w:ascii="Century Gothic" w:eastAsia="Times New Roman" w:hAnsi="Century Gothic" w:cstheme="minorHAnsi"/>
          <w:bCs/>
          <w:lang w:eastAsia="es-ES"/>
        </w:rPr>
        <w:t>que cumplen las condiciones y habilitaciones exigidas en este Pliego para la prestación del suministro correspondiente.</w:t>
      </w:r>
      <w:r>
        <w:rPr>
          <w:rFonts w:ascii="Century Gothic" w:eastAsia="Times New Roman" w:hAnsi="Century Gothic" w:cstheme="minorHAnsi"/>
          <w:bCs/>
          <w:lang w:eastAsia="es-ES"/>
        </w:rPr>
        <w:t xml:space="preserve"> </w:t>
      </w:r>
    </w:p>
    <w:p w14:paraId="41804E32" w14:textId="77777777" w:rsidR="001C5F3C" w:rsidRPr="00421C89" w:rsidRDefault="001C5F3C" w:rsidP="001C5F3C">
      <w:pPr>
        <w:jc w:val="both"/>
        <w:rPr>
          <w:rFonts w:ascii="Century Gothic" w:hAnsi="Century Gothic"/>
        </w:rPr>
      </w:pPr>
      <w:r w:rsidRPr="00547BCB">
        <w:rPr>
          <w:rFonts w:ascii="Century Gothic" w:hAnsi="Century Gothic"/>
        </w:rPr>
        <w:t xml:space="preserve">El </w:t>
      </w:r>
      <w:r>
        <w:rPr>
          <w:rFonts w:ascii="Century Gothic" w:hAnsi="Century Gothic"/>
        </w:rPr>
        <w:t>prestador d</w:t>
      </w:r>
      <w:r w:rsidRPr="00547BCB">
        <w:rPr>
          <w:rFonts w:ascii="Century Gothic" w:hAnsi="Century Gothic"/>
        </w:rPr>
        <w:t xml:space="preserve">el servicio deberá disponer de </w:t>
      </w:r>
      <w:r>
        <w:rPr>
          <w:rFonts w:ascii="Century Gothic" w:hAnsi="Century Gothic"/>
        </w:rPr>
        <w:t>una a</w:t>
      </w:r>
      <w:r w:rsidRPr="00547BCB">
        <w:rPr>
          <w:rFonts w:ascii="Century Gothic" w:hAnsi="Century Gothic"/>
        </w:rPr>
        <w:t>utorización, de carácter administrativo, para operar en el puerto</w:t>
      </w:r>
      <w:r>
        <w:rPr>
          <w:rFonts w:ascii="Century Gothic" w:hAnsi="Century Gothic"/>
        </w:rPr>
        <w:t xml:space="preserve"> </w:t>
      </w:r>
      <w:r w:rsidRPr="00421C89">
        <w:rPr>
          <w:rFonts w:ascii="Century Gothic" w:hAnsi="Century Gothic"/>
          <w:color w:val="ED0000"/>
        </w:rPr>
        <w:t>XXXX</w:t>
      </w:r>
      <w:r>
        <w:rPr>
          <w:rFonts w:ascii="Century Gothic" w:hAnsi="Century Gothic"/>
          <w:color w:val="ED0000"/>
        </w:rPr>
        <w:t xml:space="preserve">, </w:t>
      </w:r>
      <w:r w:rsidRPr="00421C89">
        <w:rPr>
          <w:rFonts w:ascii="Century Gothic" w:hAnsi="Century Gothic"/>
        </w:rPr>
        <w:t>si bien est</w:t>
      </w:r>
      <w:r>
        <w:rPr>
          <w:rFonts w:ascii="Century Gothic" w:hAnsi="Century Gothic"/>
        </w:rPr>
        <w:t>e</w:t>
      </w:r>
      <w:r w:rsidRPr="00421C89">
        <w:rPr>
          <w:rFonts w:ascii="Century Gothic" w:hAnsi="Century Gothic"/>
        </w:rPr>
        <w:t xml:space="preserve"> título habilitante no implica que se puedan realizar operaciones concretas de suministro</w:t>
      </w:r>
      <w:r>
        <w:rPr>
          <w:rFonts w:ascii="Century Gothic" w:hAnsi="Century Gothic"/>
        </w:rPr>
        <w:t xml:space="preserve">. </w:t>
      </w:r>
      <w:r w:rsidRPr="00393AAF">
        <w:rPr>
          <w:rFonts w:ascii="Century Gothic" w:hAnsi="Century Gothic"/>
          <w:b/>
          <w:bCs/>
        </w:rPr>
        <w:t>Para poder realizar operaciones concretas se deberán cumplir las siguientes condiciones</w:t>
      </w:r>
      <w:r w:rsidRPr="00421C89">
        <w:rPr>
          <w:rFonts w:ascii="Century Gothic" w:hAnsi="Century Gothic"/>
        </w:rPr>
        <w:t>:</w:t>
      </w:r>
    </w:p>
    <w:p w14:paraId="7244A2E9" w14:textId="77777777" w:rsidR="001C5F3C" w:rsidRPr="00547BCB" w:rsidRDefault="001C5F3C" w:rsidP="006965D8">
      <w:pPr>
        <w:pStyle w:val="Prrafodelista"/>
        <w:numPr>
          <w:ilvl w:val="0"/>
          <w:numId w:val="67"/>
        </w:numPr>
        <w:spacing w:line="278" w:lineRule="auto"/>
        <w:jc w:val="both"/>
        <w:rPr>
          <w:rFonts w:ascii="Century Gothic" w:hAnsi="Century Gothic"/>
        </w:rPr>
      </w:pPr>
      <w:r w:rsidRPr="00547BCB">
        <w:rPr>
          <w:rFonts w:ascii="Century Gothic" w:hAnsi="Century Gothic"/>
        </w:rPr>
        <w:t xml:space="preserve">El </w:t>
      </w:r>
      <w:r>
        <w:rPr>
          <w:rFonts w:ascii="Century Gothic" w:hAnsi="Century Gothic"/>
        </w:rPr>
        <w:t>prestador</w:t>
      </w:r>
      <w:r w:rsidRPr="00547BCB">
        <w:rPr>
          <w:rFonts w:ascii="Century Gothic" w:hAnsi="Century Gothic"/>
        </w:rPr>
        <w:t xml:space="preserve"> dispone de una </w:t>
      </w:r>
      <w:r w:rsidRPr="00393AAF">
        <w:rPr>
          <w:rFonts w:ascii="Century Gothic" w:hAnsi="Century Gothic"/>
          <w:b/>
          <w:bCs/>
        </w:rPr>
        <w:t>autorización de servicio comercial</w:t>
      </w:r>
      <w:r w:rsidRPr="00547BCB">
        <w:rPr>
          <w:rFonts w:ascii="Century Gothic" w:hAnsi="Century Gothic"/>
        </w:rPr>
        <w:t xml:space="preserve"> (título habilitante)</w:t>
      </w:r>
      <w:r>
        <w:rPr>
          <w:rFonts w:ascii="Century Gothic" w:hAnsi="Century Gothic"/>
        </w:rPr>
        <w:t xml:space="preserve"> tras la presentación de la </w:t>
      </w:r>
      <w:r w:rsidRPr="00393AAF">
        <w:rPr>
          <w:rFonts w:ascii="Century Gothic" w:hAnsi="Century Gothic"/>
          <w:b/>
          <w:bCs/>
        </w:rPr>
        <w:t>documentación del apartado 1 del Anexo II-</w:t>
      </w:r>
      <w:r>
        <w:rPr>
          <w:rFonts w:ascii="Century Gothic" w:hAnsi="Century Gothic"/>
          <w:b/>
          <w:bCs/>
        </w:rPr>
        <w:t>T</w:t>
      </w:r>
      <w:r w:rsidRPr="00393AAF">
        <w:rPr>
          <w:rFonts w:ascii="Century Gothic" w:hAnsi="Century Gothic"/>
          <w:b/>
          <w:bCs/>
        </w:rPr>
        <w:t>TS</w:t>
      </w:r>
      <w:r>
        <w:rPr>
          <w:rFonts w:ascii="Century Gothic" w:hAnsi="Century Gothic"/>
        </w:rPr>
        <w:t xml:space="preserve"> del presente PCP</w:t>
      </w:r>
      <w:r w:rsidRPr="00547BCB">
        <w:rPr>
          <w:rFonts w:ascii="Century Gothic" w:hAnsi="Century Gothic"/>
        </w:rPr>
        <w:t>.</w:t>
      </w:r>
    </w:p>
    <w:p w14:paraId="4E2AC12D" w14:textId="77777777" w:rsidR="001C5F3C" w:rsidRPr="00547BCB" w:rsidRDefault="001C5F3C" w:rsidP="006965D8">
      <w:pPr>
        <w:pStyle w:val="Prrafodelista"/>
        <w:numPr>
          <w:ilvl w:val="0"/>
          <w:numId w:val="67"/>
        </w:numPr>
        <w:spacing w:line="278" w:lineRule="auto"/>
        <w:jc w:val="both"/>
        <w:rPr>
          <w:rFonts w:ascii="Century Gothic" w:hAnsi="Century Gothic"/>
        </w:rPr>
      </w:pPr>
      <w:r w:rsidRPr="00547BCB">
        <w:rPr>
          <w:rFonts w:ascii="Century Gothic" w:hAnsi="Century Gothic"/>
        </w:rPr>
        <w:t xml:space="preserve">El </w:t>
      </w:r>
      <w:r>
        <w:rPr>
          <w:rFonts w:ascii="Century Gothic" w:hAnsi="Century Gothic"/>
        </w:rPr>
        <w:t>prestador</w:t>
      </w:r>
      <w:r w:rsidRPr="00547BCB">
        <w:rPr>
          <w:rFonts w:ascii="Century Gothic" w:hAnsi="Century Gothic"/>
        </w:rPr>
        <w:t xml:space="preserve"> ha obtenido </w:t>
      </w:r>
      <w:r w:rsidRPr="00393AAF">
        <w:rPr>
          <w:rFonts w:ascii="Century Gothic" w:hAnsi="Century Gothic"/>
          <w:b/>
          <w:bCs/>
        </w:rPr>
        <w:t>resolución de validación técnica</w:t>
      </w:r>
      <w:r w:rsidRPr="00547BCB">
        <w:rPr>
          <w:rFonts w:ascii="Century Gothic" w:hAnsi="Century Gothic"/>
        </w:rPr>
        <w:t xml:space="preserve"> para el</w:t>
      </w:r>
      <w:r>
        <w:rPr>
          <w:rFonts w:ascii="Century Gothic" w:hAnsi="Century Gothic"/>
        </w:rPr>
        <w:t>/los</w:t>
      </w:r>
      <w:r w:rsidRPr="00547BCB">
        <w:rPr>
          <w:rFonts w:ascii="Century Gothic" w:hAnsi="Century Gothic"/>
        </w:rPr>
        <w:t xml:space="preserve"> tipo</w:t>
      </w:r>
      <w:r>
        <w:rPr>
          <w:rFonts w:ascii="Century Gothic" w:hAnsi="Century Gothic"/>
        </w:rPr>
        <w:t>/s</w:t>
      </w:r>
      <w:r w:rsidRPr="00547BCB">
        <w:rPr>
          <w:rFonts w:ascii="Century Gothic" w:hAnsi="Century Gothic"/>
        </w:rPr>
        <w:t xml:space="preserve"> de operación que desea realizar</w:t>
      </w:r>
      <w:r>
        <w:rPr>
          <w:rFonts w:ascii="Century Gothic" w:hAnsi="Century Gothic"/>
        </w:rPr>
        <w:t xml:space="preserve"> tras la presentación de la </w:t>
      </w:r>
      <w:r w:rsidRPr="00393AAF">
        <w:rPr>
          <w:rFonts w:ascii="Century Gothic" w:hAnsi="Century Gothic"/>
          <w:b/>
          <w:bCs/>
        </w:rPr>
        <w:t>documentación del apartado 2 del Anexo II-</w:t>
      </w:r>
      <w:r>
        <w:rPr>
          <w:rFonts w:ascii="Century Gothic" w:hAnsi="Century Gothic"/>
          <w:b/>
          <w:bCs/>
        </w:rPr>
        <w:t>T</w:t>
      </w:r>
      <w:r w:rsidRPr="00393AAF">
        <w:rPr>
          <w:rFonts w:ascii="Century Gothic" w:hAnsi="Century Gothic"/>
          <w:b/>
          <w:bCs/>
        </w:rPr>
        <w:t>TS</w:t>
      </w:r>
      <w:r>
        <w:rPr>
          <w:rFonts w:ascii="Century Gothic" w:hAnsi="Century Gothic"/>
        </w:rPr>
        <w:t xml:space="preserve"> del presente PCP</w:t>
      </w:r>
      <w:r w:rsidRPr="00547BCB">
        <w:rPr>
          <w:rFonts w:ascii="Century Gothic" w:hAnsi="Century Gothic"/>
        </w:rPr>
        <w:t>.</w:t>
      </w:r>
    </w:p>
    <w:p w14:paraId="5941B0FD" w14:textId="77777777" w:rsidR="001C5F3C" w:rsidRPr="00547BCB" w:rsidRDefault="001C5F3C" w:rsidP="006965D8">
      <w:pPr>
        <w:pStyle w:val="Prrafodelista"/>
        <w:numPr>
          <w:ilvl w:val="0"/>
          <w:numId w:val="67"/>
        </w:numPr>
        <w:spacing w:line="278" w:lineRule="auto"/>
        <w:jc w:val="both"/>
        <w:rPr>
          <w:rFonts w:ascii="Century Gothic" w:hAnsi="Century Gothic"/>
        </w:rPr>
      </w:pPr>
      <w:r w:rsidRPr="00547BCB">
        <w:rPr>
          <w:rFonts w:ascii="Century Gothic" w:hAnsi="Century Gothic"/>
        </w:rPr>
        <w:t xml:space="preserve">La operación </w:t>
      </w:r>
      <w:r>
        <w:rPr>
          <w:rFonts w:ascii="Century Gothic" w:hAnsi="Century Gothic"/>
        </w:rPr>
        <w:t>de suministro</w:t>
      </w:r>
      <w:r w:rsidRPr="00547BCB">
        <w:rPr>
          <w:rFonts w:ascii="Century Gothic" w:hAnsi="Century Gothic"/>
        </w:rPr>
        <w:t xml:space="preserve"> se ajusta a l</w:t>
      </w:r>
      <w:r>
        <w:rPr>
          <w:rFonts w:ascii="Century Gothic" w:hAnsi="Century Gothic"/>
        </w:rPr>
        <w:t>as</w:t>
      </w:r>
      <w:r w:rsidRPr="00547BCB">
        <w:rPr>
          <w:rFonts w:ascii="Century Gothic" w:hAnsi="Century Gothic"/>
        </w:rPr>
        <w:t xml:space="preserve"> condiciones establecidas en </w:t>
      </w:r>
      <w:r>
        <w:rPr>
          <w:rFonts w:ascii="Century Gothic" w:hAnsi="Century Gothic"/>
        </w:rPr>
        <w:t>los documentos 1,2 y 4.</w:t>
      </w:r>
    </w:p>
    <w:p w14:paraId="482FCB5A" w14:textId="77777777" w:rsidR="001C5F3C" w:rsidRPr="00547BCB" w:rsidRDefault="001C5F3C" w:rsidP="006965D8">
      <w:pPr>
        <w:pStyle w:val="Prrafodelista"/>
        <w:numPr>
          <w:ilvl w:val="0"/>
          <w:numId w:val="67"/>
        </w:numPr>
        <w:spacing w:line="278" w:lineRule="auto"/>
        <w:jc w:val="both"/>
        <w:rPr>
          <w:rFonts w:ascii="Century Gothic" w:hAnsi="Century Gothic"/>
        </w:rPr>
      </w:pPr>
      <w:r w:rsidRPr="00547BCB">
        <w:rPr>
          <w:rFonts w:ascii="Century Gothic" w:hAnsi="Century Gothic"/>
        </w:rPr>
        <w:t xml:space="preserve">La operación de suministro </w:t>
      </w:r>
      <w:r w:rsidRPr="00393AAF">
        <w:rPr>
          <w:rFonts w:ascii="Century Gothic" w:hAnsi="Century Gothic"/>
          <w:b/>
          <w:bCs/>
        </w:rPr>
        <w:t>se notifica</w:t>
      </w:r>
      <w:r w:rsidRPr="00547BCB">
        <w:rPr>
          <w:rFonts w:ascii="Century Gothic" w:hAnsi="Century Gothic"/>
        </w:rPr>
        <w:t xml:space="preserve"> a la Autoridad Portuaria</w:t>
      </w:r>
      <w:r>
        <w:rPr>
          <w:rFonts w:ascii="Century Gothic" w:hAnsi="Century Gothic"/>
        </w:rPr>
        <w:t xml:space="preserve"> presentando la </w:t>
      </w:r>
      <w:r>
        <w:rPr>
          <w:rFonts w:ascii="Century Gothic" w:hAnsi="Century Gothic"/>
          <w:b/>
          <w:bCs/>
        </w:rPr>
        <w:t xml:space="preserve">notificación de suministro según el modelo </w:t>
      </w:r>
      <w:r w:rsidRPr="001F7DB4">
        <w:rPr>
          <w:rFonts w:ascii="Century Gothic" w:hAnsi="Century Gothic" w:cs="Arial"/>
          <w:b/>
          <w:bCs/>
        </w:rPr>
        <w:t>contenido en el Anexo I, parte 1.a)</w:t>
      </w:r>
      <w:r>
        <w:rPr>
          <w:rFonts w:ascii="Century Gothic" w:hAnsi="Century Gothic"/>
        </w:rPr>
        <w:t xml:space="preserve">. </w:t>
      </w:r>
    </w:p>
    <w:p w14:paraId="6C9915AF" w14:textId="77777777" w:rsidR="001C5F3C" w:rsidRDefault="001C5F3C" w:rsidP="001C5F3C">
      <w:pPr>
        <w:jc w:val="both"/>
        <w:rPr>
          <w:rFonts w:ascii="Century Gothic" w:hAnsi="Century Gothic"/>
          <w:b/>
          <w:bCs/>
        </w:rPr>
      </w:pPr>
      <w:r w:rsidRPr="00840B71">
        <w:rPr>
          <w:rFonts w:ascii="Century Gothic" w:hAnsi="Century Gothic"/>
          <w:b/>
          <w:bCs/>
        </w:rPr>
        <w:t>Se permitirá la presentación de una única solicitud de autorización de servicio comercial</w:t>
      </w:r>
      <w:r>
        <w:rPr>
          <w:rFonts w:ascii="Century Gothic" w:hAnsi="Century Gothic"/>
          <w:b/>
          <w:bCs/>
        </w:rPr>
        <w:t xml:space="preserve"> (título habilitante)</w:t>
      </w:r>
      <w:r w:rsidRPr="00840B71">
        <w:rPr>
          <w:rFonts w:ascii="Century Gothic" w:hAnsi="Century Gothic"/>
          <w:b/>
          <w:bCs/>
        </w:rPr>
        <w:t xml:space="preserve"> y validación técnica en el mismo expediente, que se tramitarán de forma paralela</w:t>
      </w:r>
      <w:r>
        <w:rPr>
          <w:rFonts w:ascii="Century Gothic" w:hAnsi="Century Gothic"/>
          <w:b/>
          <w:bCs/>
        </w:rPr>
        <w:t>.</w:t>
      </w:r>
    </w:p>
    <w:p w14:paraId="47E1BA2F" w14:textId="77777777" w:rsidR="001C5F3C" w:rsidRPr="001F7DB4" w:rsidRDefault="001C5F3C" w:rsidP="001C5F3C">
      <w:pPr>
        <w:jc w:val="both"/>
        <w:rPr>
          <w:rFonts w:ascii="Century Gothic" w:hAnsi="Century Gothic"/>
          <w:b/>
          <w:bCs/>
        </w:rPr>
      </w:pPr>
      <w:r w:rsidRPr="00547BCB">
        <w:rPr>
          <w:rFonts w:ascii="Century Gothic" w:hAnsi="Century Gothic"/>
        </w:rPr>
        <w:t xml:space="preserve">Una vez cumplido todo el procedimiento anterior de acuerdo con las especificaciones descritas en </w:t>
      </w:r>
      <w:r>
        <w:rPr>
          <w:rFonts w:ascii="Century Gothic" w:hAnsi="Century Gothic"/>
        </w:rPr>
        <w:t>el presente Anexo I</w:t>
      </w:r>
      <w:r w:rsidRPr="00547BCB">
        <w:rPr>
          <w:rFonts w:ascii="Century Gothic" w:hAnsi="Century Gothic"/>
        </w:rPr>
        <w:t xml:space="preserve">, el </w:t>
      </w:r>
      <w:r>
        <w:rPr>
          <w:rFonts w:ascii="Century Gothic" w:hAnsi="Century Gothic"/>
        </w:rPr>
        <w:t>prestador</w:t>
      </w:r>
      <w:r w:rsidRPr="00547BCB">
        <w:rPr>
          <w:rFonts w:ascii="Century Gothic" w:hAnsi="Century Gothic"/>
        </w:rPr>
        <w:t xml:space="preserve"> estará autorizado a efectuar la operación de suministro.</w:t>
      </w:r>
      <w:r w:rsidRPr="00AB4E24">
        <w:rPr>
          <w:rFonts w:ascii="Century Gothic" w:hAnsi="Century Gothic"/>
        </w:rPr>
        <w:t xml:space="preserve"> </w:t>
      </w:r>
    </w:p>
    <w:p w14:paraId="39B06E39" w14:textId="77777777" w:rsidR="001C5F3C" w:rsidRPr="009570BA" w:rsidRDefault="001C5F3C" w:rsidP="001C5F3C">
      <w:pPr>
        <w:spacing w:after="0" w:line="276" w:lineRule="auto"/>
        <w:jc w:val="both"/>
        <w:rPr>
          <w:rFonts w:ascii="Century Gothic" w:eastAsia="Times New Roman" w:hAnsi="Century Gothic" w:cstheme="minorHAnsi"/>
          <w:bCs/>
          <w:lang w:eastAsia="es-ES"/>
        </w:rPr>
      </w:pPr>
    </w:p>
    <w:p w14:paraId="40814FAF" w14:textId="77777777" w:rsidR="001C5F3C" w:rsidRPr="00E05400" w:rsidRDefault="001C5F3C" w:rsidP="006965D8">
      <w:pPr>
        <w:pStyle w:val="Prrafodelista"/>
        <w:numPr>
          <w:ilvl w:val="0"/>
          <w:numId w:val="69"/>
        </w:numPr>
        <w:spacing w:line="278" w:lineRule="auto"/>
        <w:jc w:val="both"/>
        <w:rPr>
          <w:rFonts w:ascii="Century Gothic" w:hAnsi="Century Gothic"/>
          <w:b/>
          <w:bCs/>
        </w:rPr>
      </w:pPr>
      <w:r w:rsidRPr="00E05400">
        <w:rPr>
          <w:rFonts w:ascii="Century Gothic" w:hAnsi="Century Gothic"/>
          <w:b/>
          <w:bCs/>
        </w:rPr>
        <w:t xml:space="preserve">Procedimiento de validación técnica para operaciones de suministro de GNL </w:t>
      </w:r>
      <w:r w:rsidRPr="006632CD">
        <w:rPr>
          <w:rFonts w:ascii="Century Gothic" w:hAnsi="Century Gothic"/>
          <w:b/>
          <w:bCs/>
        </w:rPr>
        <w:t xml:space="preserve">TTS/MTTS </w:t>
      </w:r>
      <w:r w:rsidRPr="00E05400">
        <w:rPr>
          <w:rFonts w:ascii="Century Gothic" w:hAnsi="Century Gothic"/>
          <w:b/>
          <w:bCs/>
        </w:rPr>
        <w:t xml:space="preserve">en el puerto de </w:t>
      </w:r>
      <w:r w:rsidRPr="001F7DB4">
        <w:rPr>
          <w:rFonts w:ascii="Century Gothic" w:hAnsi="Century Gothic"/>
          <w:b/>
          <w:bCs/>
          <w:color w:val="EE0000"/>
        </w:rPr>
        <w:t xml:space="preserve">XXXX </w:t>
      </w:r>
    </w:p>
    <w:p w14:paraId="3BDAB149" w14:textId="77777777" w:rsidR="001C5F3C" w:rsidRDefault="001C5F3C" w:rsidP="001C5F3C">
      <w:pPr>
        <w:spacing w:line="276" w:lineRule="auto"/>
        <w:jc w:val="both"/>
        <w:rPr>
          <w:rFonts w:ascii="Century Gothic" w:hAnsi="Century Gothic"/>
          <w:b/>
          <w:bCs/>
        </w:rPr>
      </w:pPr>
      <w:r w:rsidRPr="00547BCB">
        <w:rPr>
          <w:rFonts w:ascii="Century Gothic" w:hAnsi="Century Gothic"/>
        </w:rPr>
        <w:t xml:space="preserve">La </w:t>
      </w:r>
      <w:r>
        <w:rPr>
          <w:rFonts w:ascii="Century Gothic" w:hAnsi="Century Gothic"/>
        </w:rPr>
        <w:t>v</w:t>
      </w:r>
      <w:r w:rsidRPr="00547BCB">
        <w:rPr>
          <w:rFonts w:ascii="Century Gothic" w:hAnsi="Century Gothic"/>
        </w:rPr>
        <w:t xml:space="preserve">alidación </w:t>
      </w:r>
      <w:r>
        <w:rPr>
          <w:rFonts w:ascii="Century Gothic" w:hAnsi="Century Gothic"/>
        </w:rPr>
        <w:t>t</w:t>
      </w:r>
      <w:r w:rsidRPr="00547BCB">
        <w:rPr>
          <w:rFonts w:ascii="Century Gothic" w:hAnsi="Century Gothic"/>
        </w:rPr>
        <w:t>écnica es el documento que permite la prestación del servicio de suministro</w:t>
      </w:r>
      <w:r>
        <w:rPr>
          <w:rFonts w:ascii="Century Gothic" w:hAnsi="Century Gothic"/>
        </w:rPr>
        <w:t xml:space="preserve"> de GNL</w:t>
      </w:r>
      <w:r w:rsidRPr="00547BCB">
        <w:rPr>
          <w:rFonts w:ascii="Century Gothic" w:hAnsi="Century Gothic"/>
        </w:rPr>
        <w:t xml:space="preserve"> de forma segura en la </w:t>
      </w:r>
      <w:r w:rsidRPr="000C5F92">
        <w:rPr>
          <w:rFonts w:ascii="Century Gothic" w:hAnsi="Century Gothic"/>
        </w:rPr>
        <w:t>modalidad TTS para una o diversas tipologías de buques receptores</w:t>
      </w:r>
      <w:r w:rsidRPr="00AB4E24">
        <w:rPr>
          <w:rFonts w:ascii="Century Gothic" w:hAnsi="Century Gothic"/>
          <w:color w:val="ED0000"/>
        </w:rPr>
        <w:t xml:space="preserve"> (pasaje, transbordadores, portacontenedores, car carrier o RoRo, graneleros o buques de carga general o LoLo, petroleros o quimiqueros y otros)</w:t>
      </w:r>
      <w:r w:rsidRPr="00547BCB">
        <w:rPr>
          <w:rFonts w:ascii="Century Gothic" w:hAnsi="Century Gothic"/>
        </w:rPr>
        <w:t xml:space="preserve"> en las zonas del </w:t>
      </w:r>
      <w:r>
        <w:rPr>
          <w:rFonts w:ascii="Century Gothic" w:hAnsi="Century Gothic"/>
        </w:rPr>
        <w:t>p</w:t>
      </w:r>
      <w:r w:rsidRPr="00547BCB">
        <w:rPr>
          <w:rFonts w:ascii="Century Gothic" w:hAnsi="Century Gothic"/>
        </w:rPr>
        <w:t xml:space="preserve">uerto </w:t>
      </w:r>
      <w:r w:rsidRPr="00547BCB">
        <w:rPr>
          <w:rFonts w:ascii="Century Gothic" w:hAnsi="Century Gothic"/>
          <w:color w:val="EE0000"/>
        </w:rPr>
        <w:t xml:space="preserve">XXXX </w:t>
      </w:r>
      <w:r w:rsidRPr="00547BCB">
        <w:rPr>
          <w:rFonts w:ascii="Century Gothic" w:hAnsi="Century Gothic"/>
          <w:color w:val="000000" w:themeColor="text1"/>
        </w:rPr>
        <w:t>analizadas y</w:t>
      </w:r>
      <w:r w:rsidRPr="00547BCB">
        <w:rPr>
          <w:rFonts w:ascii="Century Gothic" w:hAnsi="Century Gothic"/>
          <w:color w:val="EE0000"/>
        </w:rPr>
        <w:t xml:space="preserve"> </w:t>
      </w:r>
      <w:r w:rsidRPr="00AB4E24">
        <w:rPr>
          <w:rFonts w:ascii="Century Gothic" w:hAnsi="Century Gothic"/>
        </w:rPr>
        <w:t>habilitada</w:t>
      </w:r>
      <w:r w:rsidRPr="00547BCB">
        <w:rPr>
          <w:rFonts w:ascii="Century Gothic" w:hAnsi="Century Gothic"/>
        </w:rPr>
        <w:t xml:space="preserve">s </w:t>
      </w:r>
      <w:r w:rsidRPr="00AB4E24">
        <w:rPr>
          <w:rFonts w:ascii="Century Gothic" w:hAnsi="Century Gothic"/>
        </w:rPr>
        <w:t xml:space="preserve">para </w:t>
      </w:r>
      <w:r w:rsidRPr="00547BCB">
        <w:rPr>
          <w:rFonts w:ascii="Century Gothic" w:hAnsi="Century Gothic"/>
        </w:rPr>
        <w:t xml:space="preserve">llevar </w:t>
      </w:r>
      <w:r w:rsidRPr="00547BCB">
        <w:rPr>
          <w:rFonts w:ascii="Century Gothic" w:hAnsi="Century Gothic"/>
        </w:rPr>
        <w:lastRenderedPageBreak/>
        <w:t>a cabo este tipo de operativas</w:t>
      </w:r>
      <w:r w:rsidRPr="006632CD">
        <w:rPr>
          <w:rFonts w:ascii="Century Gothic" w:hAnsi="Century Gothic"/>
        </w:rPr>
        <w:t>.</w:t>
      </w:r>
      <w:r w:rsidRPr="006632CD">
        <w:rPr>
          <w:rFonts w:ascii="Century Gothic" w:hAnsi="Century Gothic"/>
          <w:b/>
          <w:bCs/>
        </w:rPr>
        <w:t xml:space="preserve"> </w:t>
      </w:r>
      <w:r w:rsidRPr="006632CD">
        <w:rPr>
          <w:rFonts w:ascii="Century Gothic" w:hAnsi="Century Gothic"/>
        </w:rPr>
        <w:t>Podrá ser solicitado una vez obtenido el título habilitante.</w:t>
      </w:r>
    </w:p>
    <w:p w14:paraId="4FD006A6" w14:textId="77777777" w:rsidR="001C5F3C" w:rsidRDefault="001C5F3C" w:rsidP="001C5F3C">
      <w:pPr>
        <w:spacing w:line="276" w:lineRule="auto"/>
        <w:jc w:val="both"/>
        <w:rPr>
          <w:rFonts w:ascii="Century Gothic" w:hAnsi="Century Gothic"/>
        </w:rPr>
      </w:pPr>
      <w:r w:rsidRPr="000C5F92">
        <w:rPr>
          <w:rFonts w:ascii="Century Gothic" w:hAnsi="Century Gothic"/>
          <w:b/>
          <w:bCs/>
        </w:rPr>
        <w:t>Se podrá tramitar en el mismo expediente la validación de diversas tipologías de buques receptores</w:t>
      </w:r>
      <w:r w:rsidRPr="00547BCB">
        <w:rPr>
          <w:rFonts w:ascii="Century Gothic" w:hAnsi="Century Gothic"/>
        </w:rPr>
        <w:t xml:space="preserve">, siempre que se presente la documentación específica </w:t>
      </w:r>
      <w:r>
        <w:rPr>
          <w:rFonts w:ascii="Century Gothic" w:hAnsi="Century Gothic"/>
        </w:rPr>
        <w:t xml:space="preserve">para </w:t>
      </w:r>
      <w:r w:rsidRPr="00547BCB">
        <w:rPr>
          <w:rFonts w:ascii="Century Gothic" w:hAnsi="Century Gothic"/>
        </w:rPr>
        <w:t xml:space="preserve">cada tipología de buques receptores. </w:t>
      </w:r>
      <w:r>
        <w:rPr>
          <w:rFonts w:ascii="Century Gothic" w:hAnsi="Century Gothic"/>
        </w:rPr>
        <w:t xml:space="preserve">Podrá ser solicitada una vez obtenida </w:t>
      </w:r>
    </w:p>
    <w:p w14:paraId="7A9BF2EE" w14:textId="77777777" w:rsidR="001C5F3C" w:rsidRPr="00547BCB" w:rsidRDefault="001C5F3C" w:rsidP="001C5F3C">
      <w:pPr>
        <w:spacing w:line="276" w:lineRule="auto"/>
        <w:jc w:val="both"/>
        <w:rPr>
          <w:rFonts w:ascii="Century Gothic" w:hAnsi="Century Gothic"/>
        </w:rPr>
      </w:pPr>
      <w:r w:rsidRPr="00547BCB">
        <w:rPr>
          <w:rFonts w:ascii="Century Gothic" w:hAnsi="Century Gothic"/>
        </w:rPr>
        <w:t xml:space="preserve">El procedimiento de tramitación del expediente de </w:t>
      </w:r>
      <w:r>
        <w:rPr>
          <w:rFonts w:ascii="Century Gothic" w:hAnsi="Century Gothic"/>
        </w:rPr>
        <w:t>v</w:t>
      </w:r>
      <w:r w:rsidRPr="00547BCB">
        <w:rPr>
          <w:rFonts w:ascii="Century Gothic" w:hAnsi="Century Gothic"/>
        </w:rPr>
        <w:t xml:space="preserve">alidación </w:t>
      </w:r>
      <w:r>
        <w:rPr>
          <w:rFonts w:ascii="Century Gothic" w:hAnsi="Century Gothic"/>
        </w:rPr>
        <w:t>t</w:t>
      </w:r>
      <w:r w:rsidRPr="00547BCB">
        <w:rPr>
          <w:rFonts w:ascii="Century Gothic" w:hAnsi="Century Gothic"/>
        </w:rPr>
        <w:t>écnica se resume en los siguiente</w:t>
      </w:r>
      <w:r>
        <w:rPr>
          <w:rFonts w:ascii="Century Gothic" w:hAnsi="Century Gothic"/>
        </w:rPr>
        <w:t>s</w:t>
      </w:r>
      <w:r w:rsidRPr="00547BCB">
        <w:rPr>
          <w:rFonts w:ascii="Century Gothic" w:hAnsi="Century Gothic"/>
        </w:rPr>
        <w:t xml:space="preserve"> puntos:</w:t>
      </w:r>
    </w:p>
    <w:p w14:paraId="4BC3927D" w14:textId="77777777" w:rsidR="001C5F3C" w:rsidRPr="00547BCB" w:rsidRDefault="001C5F3C" w:rsidP="006965D8">
      <w:pPr>
        <w:pStyle w:val="Prrafodelista"/>
        <w:numPr>
          <w:ilvl w:val="1"/>
          <w:numId w:val="18"/>
        </w:numPr>
        <w:spacing w:line="278" w:lineRule="auto"/>
        <w:ind w:left="426"/>
        <w:jc w:val="both"/>
        <w:rPr>
          <w:rFonts w:ascii="Century Gothic" w:hAnsi="Century Gothic"/>
        </w:rPr>
      </w:pPr>
      <w:r w:rsidRPr="00645315">
        <w:rPr>
          <w:rFonts w:ascii="Century Gothic" w:hAnsi="Century Gothic"/>
        </w:rPr>
        <w:t xml:space="preserve"> La solicitud de </w:t>
      </w:r>
      <w:r>
        <w:rPr>
          <w:rFonts w:ascii="Century Gothic" w:hAnsi="Century Gothic"/>
        </w:rPr>
        <w:t>v</w:t>
      </w:r>
      <w:r w:rsidRPr="00645315">
        <w:rPr>
          <w:rFonts w:ascii="Century Gothic" w:hAnsi="Century Gothic"/>
        </w:rPr>
        <w:t xml:space="preserve">alidación </w:t>
      </w:r>
      <w:r>
        <w:rPr>
          <w:rFonts w:ascii="Century Gothic" w:hAnsi="Century Gothic"/>
        </w:rPr>
        <w:t>t</w:t>
      </w:r>
      <w:r w:rsidRPr="00645315">
        <w:rPr>
          <w:rFonts w:ascii="Century Gothic" w:hAnsi="Century Gothic"/>
        </w:rPr>
        <w:t xml:space="preserve">écnica de suministro </w:t>
      </w:r>
      <w:r>
        <w:rPr>
          <w:rFonts w:ascii="Century Gothic" w:hAnsi="Century Gothic"/>
        </w:rPr>
        <w:t>T</w:t>
      </w:r>
      <w:r w:rsidRPr="00645315">
        <w:rPr>
          <w:rFonts w:ascii="Century Gothic" w:hAnsi="Century Gothic"/>
        </w:rPr>
        <w:t xml:space="preserve">TS se dirigirá a la Autoridad Portuaria y se </w:t>
      </w:r>
      <w:r w:rsidRPr="00547BCB">
        <w:rPr>
          <w:rFonts w:ascii="Century Gothic" w:hAnsi="Century Gothic"/>
        </w:rPr>
        <w:t xml:space="preserve">presentará, por parte del </w:t>
      </w:r>
      <w:r>
        <w:rPr>
          <w:rFonts w:ascii="Century Gothic" w:hAnsi="Century Gothic"/>
        </w:rPr>
        <w:t>prestador</w:t>
      </w:r>
      <w:r w:rsidRPr="00547BCB">
        <w:rPr>
          <w:rFonts w:ascii="Century Gothic" w:hAnsi="Century Gothic"/>
        </w:rPr>
        <w:t xml:space="preserve"> con autorización del servicio comercial o de forma simultánea a su tramitación, </w:t>
      </w:r>
      <w:r w:rsidRPr="00547BCB">
        <w:rPr>
          <w:rFonts w:ascii="Century Gothic" w:hAnsi="Century Gothic"/>
          <w:color w:val="EE0000"/>
        </w:rPr>
        <w:t>por registro o la plataforma electrónica que habilite la Autoridad Portuaria</w:t>
      </w:r>
      <w:r w:rsidRPr="00547BCB">
        <w:rPr>
          <w:rFonts w:ascii="Century Gothic" w:hAnsi="Century Gothic"/>
        </w:rPr>
        <w:t xml:space="preserve">. En esta solicitud se incluirá la identificación de la empresa </w:t>
      </w:r>
      <w:r>
        <w:rPr>
          <w:rFonts w:ascii="Century Gothic" w:hAnsi="Century Gothic"/>
        </w:rPr>
        <w:t>prestador</w:t>
      </w:r>
      <w:r w:rsidRPr="00547BCB">
        <w:rPr>
          <w:rFonts w:ascii="Century Gothic" w:hAnsi="Century Gothic"/>
        </w:rPr>
        <w:t>a con autorización</w:t>
      </w:r>
      <w:r>
        <w:rPr>
          <w:rFonts w:ascii="Century Gothic" w:hAnsi="Century Gothic"/>
        </w:rPr>
        <w:t xml:space="preserve"> de servicio comercial</w:t>
      </w:r>
      <w:r w:rsidRPr="00547BCB">
        <w:rPr>
          <w:rFonts w:ascii="Century Gothic" w:hAnsi="Century Gothic"/>
        </w:rPr>
        <w:t>, las tipologías de buques receptores a las que se pretende suministrar, muelles</w:t>
      </w:r>
      <w:r>
        <w:rPr>
          <w:rFonts w:ascii="Century Gothic" w:hAnsi="Century Gothic"/>
        </w:rPr>
        <w:t xml:space="preserve"> y</w:t>
      </w:r>
      <w:r w:rsidRPr="00547BCB">
        <w:rPr>
          <w:rFonts w:ascii="Century Gothic" w:hAnsi="Century Gothic"/>
        </w:rPr>
        <w:t xml:space="preserve"> terminales </w:t>
      </w:r>
      <w:r>
        <w:rPr>
          <w:rFonts w:ascii="Century Gothic" w:hAnsi="Century Gothic"/>
        </w:rPr>
        <w:t xml:space="preserve">habilitados </w:t>
      </w:r>
      <w:r w:rsidRPr="00547BCB">
        <w:rPr>
          <w:rFonts w:ascii="Century Gothic" w:hAnsi="Century Gothic"/>
        </w:rPr>
        <w:t xml:space="preserve">donde se prestará el servicio. Junto a la solicitud se presentará la documentación de carácter técnico listada en el </w:t>
      </w:r>
      <w:r>
        <w:rPr>
          <w:rFonts w:ascii="Century Gothic" w:hAnsi="Century Gothic"/>
        </w:rPr>
        <w:t>apartado 2 del A</w:t>
      </w:r>
      <w:r w:rsidRPr="00547BCB">
        <w:rPr>
          <w:rFonts w:ascii="Century Gothic" w:hAnsi="Century Gothic"/>
        </w:rPr>
        <w:t>nexo II</w:t>
      </w:r>
      <w:r>
        <w:rPr>
          <w:rFonts w:ascii="Century Gothic" w:hAnsi="Century Gothic"/>
        </w:rPr>
        <w:t xml:space="preserve"> – TTS del presente PCP</w:t>
      </w:r>
      <w:r w:rsidRPr="00547BCB">
        <w:rPr>
          <w:rFonts w:ascii="Century Gothic" w:hAnsi="Century Gothic"/>
        </w:rPr>
        <w:t>.</w:t>
      </w:r>
    </w:p>
    <w:p w14:paraId="28D7B355" w14:textId="77777777" w:rsidR="001C5F3C" w:rsidRPr="00400063" w:rsidRDefault="001C5F3C" w:rsidP="006965D8">
      <w:pPr>
        <w:pStyle w:val="Prrafodelista"/>
        <w:numPr>
          <w:ilvl w:val="1"/>
          <w:numId w:val="70"/>
        </w:numPr>
        <w:spacing w:line="278" w:lineRule="auto"/>
        <w:ind w:left="426" w:hanging="284"/>
        <w:jc w:val="both"/>
        <w:rPr>
          <w:rFonts w:ascii="Century Gothic" w:hAnsi="Century Gothic"/>
        </w:rPr>
      </w:pPr>
      <w:r w:rsidRPr="00547BCB">
        <w:rPr>
          <w:rFonts w:ascii="Century Gothic" w:hAnsi="Century Gothic"/>
        </w:rPr>
        <w:t xml:space="preserve"> El plazo para tramitar el expediente de validación técnica de suministro de GNL</w:t>
      </w:r>
      <w:r>
        <w:rPr>
          <w:rFonts w:ascii="Century Gothic" w:hAnsi="Century Gothic"/>
        </w:rPr>
        <w:t>-TTS</w:t>
      </w:r>
      <w:r w:rsidRPr="00547BCB">
        <w:rPr>
          <w:rFonts w:ascii="Century Gothic" w:hAnsi="Century Gothic"/>
        </w:rPr>
        <w:t xml:space="preserve"> para uno o distintos tipos de buques receptores </w:t>
      </w:r>
      <w:r w:rsidRPr="00400063">
        <w:rPr>
          <w:rFonts w:ascii="Century Gothic" w:hAnsi="Century Gothic"/>
        </w:rPr>
        <w:t>será de</w:t>
      </w:r>
      <w:r w:rsidRPr="008048FA">
        <w:rPr>
          <w:rFonts w:ascii="Century Gothic" w:hAnsi="Century Gothic"/>
        </w:rPr>
        <w:t xml:space="preserve"> 15 días hábiles. </w:t>
      </w:r>
      <w:r w:rsidRPr="00400063">
        <w:rPr>
          <w:rFonts w:ascii="Century Gothic" w:hAnsi="Century Gothic"/>
        </w:rPr>
        <w:t>Cabe resaltar que el expediente no se empezará a tramitar hasta que no se haya presentado toda la documentación listada en el apartado 2 del Anexo II de este PCP.</w:t>
      </w:r>
    </w:p>
    <w:p w14:paraId="76078942" w14:textId="77777777" w:rsidR="001C5F3C" w:rsidRDefault="001C5F3C" w:rsidP="006965D8">
      <w:pPr>
        <w:pStyle w:val="Prrafodelista"/>
        <w:numPr>
          <w:ilvl w:val="1"/>
          <w:numId w:val="70"/>
        </w:numPr>
        <w:spacing w:line="278" w:lineRule="auto"/>
        <w:ind w:left="426"/>
        <w:jc w:val="both"/>
        <w:rPr>
          <w:rFonts w:ascii="Century Gothic" w:hAnsi="Century Gothic"/>
        </w:rPr>
      </w:pPr>
      <w:r w:rsidRPr="00595B0E">
        <w:rPr>
          <w:rFonts w:ascii="Century Gothic" w:hAnsi="Century Gothic"/>
        </w:rPr>
        <w:t>Una vez presentada la documentación, la Autoridad Portuaria emitirá la resolución de validación técnica</w:t>
      </w:r>
      <w:r>
        <w:rPr>
          <w:rFonts w:ascii="Century Gothic" w:hAnsi="Century Gothic"/>
        </w:rPr>
        <w:t xml:space="preserve"> y </w:t>
      </w:r>
      <w:r w:rsidRPr="00595B0E">
        <w:rPr>
          <w:rFonts w:ascii="Century Gothic" w:hAnsi="Century Gothic"/>
        </w:rPr>
        <w:t xml:space="preserve">las condiciones técnicas del presente Anexo I para la modalidad </w:t>
      </w:r>
      <w:r>
        <w:rPr>
          <w:rFonts w:ascii="Century Gothic" w:hAnsi="Century Gothic"/>
        </w:rPr>
        <w:t>T</w:t>
      </w:r>
      <w:r w:rsidRPr="00595B0E">
        <w:rPr>
          <w:rFonts w:ascii="Century Gothic" w:hAnsi="Century Gothic"/>
        </w:rPr>
        <w:t>TS.</w:t>
      </w:r>
      <w:r w:rsidRPr="00595B0E">
        <w:rPr>
          <w:rFonts w:ascii="Aptos" w:eastAsia="Times New Roman" w:hAnsi="Aptos" w:cs="Aptos"/>
          <w:color w:val="000000"/>
          <w:sz w:val="24"/>
          <w:szCs w:val="24"/>
          <w:lang w:eastAsia="es-ES"/>
        </w:rPr>
        <w:t xml:space="preserve"> </w:t>
      </w:r>
      <w:r w:rsidRPr="00595B0E">
        <w:rPr>
          <w:rFonts w:ascii="Century Gothic" w:hAnsi="Century Gothic"/>
        </w:rPr>
        <w:t xml:space="preserve">La resolución de validación técnica implica la aceptación y cumplimiento por el </w:t>
      </w:r>
      <w:r>
        <w:rPr>
          <w:rFonts w:ascii="Century Gothic" w:hAnsi="Century Gothic"/>
        </w:rPr>
        <w:t>solicitante</w:t>
      </w:r>
      <w:r w:rsidRPr="00595B0E">
        <w:rPr>
          <w:rFonts w:ascii="Century Gothic" w:hAnsi="Century Gothic"/>
        </w:rPr>
        <w:t xml:space="preserve"> de los requisitos del presente PCP y sus Anexos</w:t>
      </w:r>
      <w:r>
        <w:rPr>
          <w:rFonts w:ascii="Century Gothic" w:hAnsi="Century Gothic"/>
        </w:rPr>
        <w:t>.</w:t>
      </w:r>
      <w:r w:rsidRPr="00595B0E">
        <w:rPr>
          <w:rFonts w:ascii="Century Gothic" w:hAnsi="Century Gothic"/>
        </w:rPr>
        <w:t xml:space="preserve"> </w:t>
      </w:r>
    </w:p>
    <w:p w14:paraId="1A29B0D3" w14:textId="77777777" w:rsidR="001C5F3C" w:rsidRDefault="001C5F3C" w:rsidP="006965D8">
      <w:pPr>
        <w:pStyle w:val="Prrafodelista"/>
        <w:numPr>
          <w:ilvl w:val="1"/>
          <w:numId w:val="70"/>
        </w:numPr>
        <w:spacing w:line="278" w:lineRule="auto"/>
        <w:ind w:left="426"/>
        <w:jc w:val="both"/>
        <w:rPr>
          <w:rFonts w:ascii="Century Gothic" w:hAnsi="Century Gothic"/>
        </w:rPr>
      </w:pPr>
      <w:r w:rsidRPr="006632CD">
        <w:rPr>
          <w:rFonts w:ascii="Century Gothic" w:hAnsi="Century Gothic"/>
        </w:rPr>
        <w:t xml:space="preserve">El plazo de vigencia de la validación técnica será como máximo el mismo que el plazo de autorización de servicio comercial, es decir, </w:t>
      </w:r>
      <w:r w:rsidRPr="006632CD">
        <w:rPr>
          <w:rFonts w:ascii="Century Gothic" w:hAnsi="Century Gothic"/>
          <w:color w:val="EE0000"/>
        </w:rPr>
        <w:t xml:space="preserve">6 </w:t>
      </w:r>
      <w:r w:rsidRPr="006632CD">
        <w:rPr>
          <w:rFonts w:ascii="Century Gothic" w:hAnsi="Century Gothic"/>
        </w:rPr>
        <w:t xml:space="preserve">años, contados a partir de la fecha de firma de la resolución de validación técnica por parte de la Autoridad Portuaria. </w:t>
      </w:r>
    </w:p>
    <w:p w14:paraId="31D468B6" w14:textId="5CAD98B6" w:rsidR="001C5F3C" w:rsidRPr="002540BF" w:rsidRDefault="001C5F3C" w:rsidP="006965D8">
      <w:pPr>
        <w:pStyle w:val="Prrafodelista"/>
        <w:numPr>
          <w:ilvl w:val="1"/>
          <w:numId w:val="70"/>
        </w:numPr>
        <w:spacing w:line="278" w:lineRule="auto"/>
        <w:ind w:left="426"/>
        <w:jc w:val="both"/>
        <w:rPr>
          <w:rFonts w:ascii="Century Gothic" w:hAnsi="Century Gothic"/>
        </w:rPr>
      </w:pPr>
      <w:r w:rsidRPr="002540BF">
        <w:rPr>
          <w:rFonts w:ascii="Century Gothic" w:hAnsi="Century Gothic"/>
        </w:rPr>
        <w:t xml:space="preserve">La validación técnica podrá renovarse, previa solicitud y acreditación del prestador del cumplimiento de los requisitos previstos en el presente PCP. La validación técnica podrá renovarse por un periodo máximo de </w:t>
      </w:r>
      <w:r w:rsidRPr="002540BF">
        <w:rPr>
          <w:rFonts w:ascii="Century Gothic" w:hAnsi="Century Gothic"/>
          <w:color w:val="EE0000"/>
        </w:rPr>
        <w:t xml:space="preserve">6 </w:t>
      </w:r>
      <w:r w:rsidRPr="002540BF">
        <w:rPr>
          <w:rFonts w:ascii="Century Gothic" w:hAnsi="Century Gothic"/>
        </w:rPr>
        <w:t>años.</w:t>
      </w:r>
    </w:p>
    <w:p w14:paraId="3CC1D812" w14:textId="77777777" w:rsidR="001C5F3C" w:rsidRPr="00067DA6" w:rsidRDefault="001C5F3C" w:rsidP="001C5F3C">
      <w:pPr>
        <w:pStyle w:val="Prrafodelista"/>
        <w:spacing w:line="278" w:lineRule="auto"/>
        <w:ind w:left="426"/>
        <w:jc w:val="both"/>
        <w:rPr>
          <w:rFonts w:ascii="Century Gothic" w:hAnsi="Century Gothic"/>
        </w:rPr>
      </w:pPr>
    </w:p>
    <w:p w14:paraId="738B0F17" w14:textId="77777777" w:rsidR="001C5F3C" w:rsidRDefault="001C5F3C" w:rsidP="006965D8">
      <w:pPr>
        <w:pStyle w:val="Prrafodelista"/>
        <w:numPr>
          <w:ilvl w:val="0"/>
          <w:numId w:val="69"/>
        </w:numPr>
        <w:spacing w:line="278" w:lineRule="auto"/>
        <w:jc w:val="both"/>
        <w:rPr>
          <w:rFonts w:ascii="Century Gothic" w:hAnsi="Century Gothic"/>
          <w:b/>
          <w:bCs/>
        </w:rPr>
      </w:pPr>
      <w:r w:rsidRPr="00547BCB">
        <w:rPr>
          <w:rFonts w:ascii="Century Gothic" w:hAnsi="Century Gothic"/>
          <w:b/>
          <w:bCs/>
        </w:rPr>
        <w:t xml:space="preserve">Procedimiento de </w:t>
      </w:r>
      <w:r>
        <w:rPr>
          <w:rFonts w:ascii="Century Gothic" w:hAnsi="Century Gothic"/>
          <w:b/>
          <w:bCs/>
        </w:rPr>
        <w:t xml:space="preserve">revisión </w:t>
      </w:r>
      <w:r w:rsidRPr="00547BCB">
        <w:rPr>
          <w:rFonts w:ascii="Century Gothic" w:hAnsi="Century Gothic"/>
          <w:b/>
          <w:bCs/>
        </w:rPr>
        <w:t xml:space="preserve">de </w:t>
      </w:r>
      <w:r>
        <w:rPr>
          <w:rFonts w:ascii="Century Gothic" w:hAnsi="Century Gothic"/>
          <w:b/>
          <w:bCs/>
        </w:rPr>
        <w:t>una v</w:t>
      </w:r>
      <w:r w:rsidRPr="00547BCB">
        <w:rPr>
          <w:rFonts w:ascii="Century Gothic" w:hAnsi="Century Gothic"/>
          <w:b/>
          <w:bCs/>
        </w:rPr>
        <w:t xml:space="preserve">alidación </w:t>
      </w:r>
      <w:r>
        <w:rPr>
          <w:rFonts w:ascii="Century Gothic" w:hAnsi="Century Gothic"/>
          <w:b/>
          <w:bCs/>
        </w:rPr>
        <w:t>t</w:t>
      </w:r>
      <w:r w:rsidRPr="00547BCB">
        <w:rPr>
          <w:rFonts w:ascii="Century Gothic" w:hAnsi="Century Gothic"/>
          <w:b/>
          <w:bCs/>
        </w:rPr>
        <w:t xml:space="preserve">écnica para </w:t>
      </w:r>
      <w:r>
        <w:rPr>
          <w:rFonts w:ascii="Century Gothic" w:hAnsi="Century Gothic"/>
          <w:b/>
          <w:bCs/>
        </w:rPr>
        <w:t>o</w:t>
      </w:r>
      <w:r w:rsidRPr="00547BCB">
        <w:rPr>
          <w:rFonts w:ascii="Century Gothic" w:hAnsi="Century Gothic"/>
          <w:b/>
          <w:bCs/>
        </w:rPr>
        <w:t xml:space="preserve">peraciones </w:t>
      </w:r>
      <w:r>
        <w:rPr>
          <w:rFonts w:ascii="Century Gothic" w:hAnsi="Century Gothic"/>
          <w:b/>
          <w:bCs/>
        </w:rPr>
        <w:t>de s</w:t>
      </w:r>
      <w:r w:rsidRPr="00547BCB">
        <w:rPr>
          <w:rFonts w:ascii="Century Gothic" w:hAnsi="Century Gothic"/>
          <w:b/>
          <w:bCs/>
        </w:rPr>
        <w:t xml:space="preserve">uministro de GNL </w:t>
      </w:r>
      <w:r>
        <w:rPr>
          <w:rFonts w:ascii="Century Gothic" w:hAnsi="Century Gothic"/>
          <w:b/>
          <w:bCs/>
        </w:rPr>
        <w:t>T</w:t>
      </w:r>
      <w:r w:rsidRPr="00547BCB">
        <w:rPr>
          <w:rFonts w:ascii="Century Gothic" w:hAnsi="Century Gothic"/>
          <w:b/>
          <w:bCs/>
        </w:rPr>
        <w:t>TS</w:t>
      </w:r>
      <w:r>
        <w:rPr>
          <w:rFonts w:ascii="Century Gothic" w:hAnsi="Century Gothic"/>
          <w:b/>
          <w:bCs/>
        </w:rPr>
        <w:t>/MTTS</w:t>
      </w:r>
    </w:p>
    <w:p w14:paraId="38CEDC6B" w14:textId="77777777" w:rsidR="001C5F3C" w:rsidRPr="00547BCB" w:rsidRDefault="001C5F3C" w:rsidP="001C5F3C">
      <w:pPr>
        <w:pStyle w:val="Prrafodelista"/>
        <w:spacing w:line="278" w:lineRule="auto"/>
        <w:jc w:val="both"/>
        <w:rPr>
          <w:rFonts w:ascii="Century Gothic" w:hAnsi="Century Gothic"/>
          <w:b/>
          <w:bCs/>
        </w:rPr>
      </w:pPr>
    </w:p>
    <w:p w14:paraId="72EAC079" w14:textId="2DF43A2C" w:rsidR="001C5F3C" w:rsidRPr="002540BF" w:rsidRDefault="001C5F3C" w:rsidP="006965D8">
      <w:pPr>
        <w:pStyle w:val="Prrafodelista"/>
        <w:numPr>
          <w:ilvl w:val="1"/>
          <w:numId w:val="71"/>
        </w:numPr>
        <w:ind w:left="142" w:firstLine="0"/>
        <w:jc w:val="both"/>
        <w:rPr>
          <w:rFonts w:ascii="Century Gothic" w:hAnsi="Century Gothic"/>
        </w:rPr>
      </w:pPr>
      <w:r w:rsidRPr="002540BF">
        <w:rPr>
          <w:rFonts w:ascii="Century Gothic" w:hAnsi="Century Gothic"/>
        </w:rPr>
        <w:t>El autorizado podrá solicitar una revisión de la validación técnica por cualquier variación de las condiciones del servicio como, por ejemplo, ampliación de los tipos de buques receptores, ampliación a nuevos muelles o zonas del puerto o cambio en condiciones de operaciones simultáneas (SIMOPS).</w:t>
      </w:r>
    </w:p>
    <w:p w14:paraId="32E6C65D" w14:textId="77777777" w:rsidR="001C5F3C" w:rsidRDefault="001C5F3C" w:rsidP="001C5F3C">
      <w:pPr>
        <w:ind w:left="142"/>
        <w:jc w:val="both"/>
        <w:rPr>
          <w:rFonts w:ascii="Century Gothic" w:hAnsi="Century Gothic"/>
        </w:rPr>
      </w:pPr>
      <w:r w:rsidRPr="00516C40">
        <w:rPr>
          <w:rFonts w:ascii="Century Gothic" w:hAnsi="Century Gothic"/>
        </w:rPr>
        <w:lastRenderedPageBreak/>
        <w:t xml:space="preserve">Se realizará un nuevo estudio de validación con las nuevas condiciones propuestas por el </w:t>
      </w:r>
      <w:r>
        <w:rPr>
          <w:rFonts w:ascii="Century Gothic" w:hAnsi="Century Gothic"/>
        </w:rPr>
        <w:t>prestador</w:t>
      </w:r>
      <w:r w:rsidRPr="00516C40">
        <w:rPr>
          <w:rFonts w:ascii="Century Gothic" w:hAnsi="Century Gothic"/>
        </w:rPr>
        <w:t xml:space="preserve"> y su resultado se </w:t>
      </w:r>
      <w:r>
        <w:rPr>
          <w:rFonts w:ascii="Century Gothic" w:hAnsi="Century Gothic"/>
        </w:rPr>
        <w:t>asociará a</w:t>
      </w:r>
      <w:r w:rsidRPr="00516C40">
        <w:rPr>
          <w:rFonts w:ascii="Century Gothic" w:hAnsi="Century Gothic"/>
        </w:rPr>
        <w:t xml:space="preserve"> </w:t>
      </w:r>
      <w:r>
        <w:rPr>
          <w:rFonts w:ascii="Century Gothic" w:hAnsi="Century Gothic"/>
        </w:rPr>
        <w:t>su correspondiente</w:t>
      </w:r>
      <w:r w:rsidRPr="00516C40">
        <w:rPr>
          <w:rFonts w:ascii="Century Gothic" w:hAnsi="Century Gothic"/>
        </w:rPr>
        <w:t xml:space="preserve"> autorización de servicio comercial (título habilitante</w:t>
      </w:r>
      <w:r>
        <w:rPr>
          <w:rFonts w:ascii="Century Gothic" w:hAnsi="Century Gothic"/>
        </w:rPr>
        <w:t>).</w:t>
      </w:r>
    </w:p>
    <w:p w14:paraId="5A54A08C" w14:textId="63465C51" w:rsidR="001C5F3C" w:rsidRPr="002540BF" w:rsidRDefault="002540BF" w:rsidP="002540BF">
      <w:pPr>
        <w:ind w:left="142"/>
        <w:jc w:val="both"/>
        <w:rPr>
          <w:rFonts w:ascii="Century Gothic" w:hAnsi="Century Gothic"/>
        </w:rPr>
      </w:pPr>
      <w:r w:rsidRPr="002540BF">
        <w:rPr>
          <w:rFonts w:ascii="Century Gothic" w:hAnsi="Century Gothic"/>
        </w:rPr>
        <w:t xml:space="preserve">3.2 </w:t>
      </w:r>
      <w:r w:rsidR="001C5F3C" w:rsidRPr="002540BF">
        <w:rPr>
          <w:rFonts w:ascii="Century Gothic" w:hAnsi="Century Gothic"/>
        </w:rPr>
        <w:t>Se seguirá el mismo procedimiento que en la tramitación del expediente de validación técnica del apartado 2 anterior, tras la cual la Autoridad Portuaria emitirá la resolución correspondiente y la notificará al solicitante.</w:t>
      </w:r>
    </w:p>
    <w:p w14:paraId="7B9FEEA0" w14:textId="77777777" w:rsidR="001C5F3C" w:rsidRDefault="001C5F3C" w:rsidP="001C5F3C">
      <w:pPr>
        <w:spacing w:after="0" w:line="276" w:lineRule="auto"/>
        <w:jc w:val="both"/>
        <w:rPr>
          <w:rFonts w:ascii="Century Gothic" w:eastAsia="Times New Roman" w:hAnsi="Century Gothic" w:cstheme="minorHAnsi"/>
          <w:b/>
          <w:lang w:eastAsia="es-ES"/>
        </w:rPr>
      </w:pPr>
    </w:p>
    <w:p w14:paraId="4192732D" w14:textId="77777777" w:rsidR="001C5F3C" w:rsidRDefault="001C5F3C" w:rsidP="006965D8">
      <w:pPr>
        <w:pStyle w:val="Prrafodelista"/>
        <w:numPr>
          <w:ilvl w:val="0"/>
          <w:numId w:val="69"/>
        </w:numPr>
        <w:spacing w:line="278" w:lineRule="auto"/>
        <w:jc w:val="both"/>
        <w:rPr>
          <w:rFonts w:ascii="Century Gothic" w:hAnsi="Century Gothic"/>
          <w:b/>
          <w:bCs/>
        </w:rPr>
      </w:pPr>
      <w:r w:rsidRPr="009F62D5">
        <w:rPr>
          <w:rFonts w:ascii="Century Gothic" w:hAnsi="Century Gothic"/>
          <w:b/>
          <w:bCs/>
        </w:rPr>
        <w:t>Notificación de cada operación individual e instrucciones operativas suministro TTS</w:t>
      </w:r>
      <w:r>
        <w:rPr>
          <w:rFonts w:ascii="Century Gothic" w:hAnsi="Century Gothic"/>
          <w:b/>
          <w:bCs/>
        </w:rPr>
        <w:t>/MTTS</w:t>
      </w:r>
      <w:r w:rsidRPr="009F62D5">
        <w:rPr>
          <w:rFonts w:ascii="Century Gothic" w:hAnsi="Century Gothic"/>
          <w:b/>
          <w:bCs/>
        </w:rPr>
        <w:t>:</w:t>
      </w:r>
    </w:p>
    <w:p w14:paraId="2A59535A" w14:textId="77777777" w:rsidR="001C5F3C" w:rsidRPr="00217A09" w:rsidRDefault="001C5F3C" w:rsidP="001C5F3C">
      <w:pPr>
        <w:pStyle w:val="Prrafodelista"/>
        <w:spacing w:line="278" w:lineRule="auto"/>
        <w:jc w:val="both"/>
        <w:rPr>
          <w:rFonts w:ascii="Century Gothic" w:hAnsi="Century Gothic"/>
          <w:b/>
          <w:bCs/>
        </w:rPr>
      </w:pPr>
    </w:p>
    <w:p w14:paraId="3FDF5A8B" w14:textId="0DEBF2B2" w:rsidR="001C5F3C" w:rsidRDefault="001C5F3C" w:rsidP="006965D8">
      <w:pPr>
        <w:pStyle w:val="Prrafodelista"/>
        <w:numPr>
          <w:ilvl w:val="1"/>
          <w:numId w:val="67"/>
        </w:numPr>
        <w:spacing w:after="0" w:line="276" w:lineRule="auto"/>
        <w:ind w:left="142" w:firstLine="0"/>
        <w:jc w:val="both"/>
        <w:rPr>
          <w:rFonts w:ascii="Century Gothic" w:eastAsia="Times New Roman" w:hAnsi="Century Gothic" w:cstheme="minorHAnsi"/>
          <w:b/>
          <w:lang w:eastAsia="es-ES"/>
        </w:rPr>
      </w:pPr>
      <w:r w:rsidRPr="00E45C87">
        <w:rPr>
          <w:rFonts w:ascii="Century Gothic" w:eastAsia="Times New Roman" w:hAnsi="Century Gothic" w:cstheme="minorHAnsi"/>
          <w:b/>
          <w:lang w:eastAsia="es-ES"/>
        </w:rPr>
        <w:t>La notificación de un suministro a través de camión cisterna</w:t>
      </w:r>
      <w:r w:rsidRPr="006632CD">
        <w:rPr>
          <w:rFonts w:ascii="Century Gothic" w:eastAsia="Times New Roman" w:hAnsi="Century Gothic" w:cstheme="minorHAnsi"/>
          <w:bCs/>
          <w:lang w:eastAsia="es-ES"/>
        </w:rPr>
        <w:t xml:space="preserve"> deberá efectuarse por correo electrónico </w:t>
      </w:r>
      <w:r w:rsidRPr="006632CD">
        <w:rPr>
          <w:rFonts w:ascii="Century Gothic" w:eastAsia="Times New Roman" w:hAnsi="Century Gothic" w:cstheme="minorHAnsi"/>
          <w:bCs/>
          <w:color w:val="FF0000"/>
          <w:lang w:eastAsia="es-ES"/>
        </w:rPr>
        <w:t>(o bien a través de otros medios que determine la AP)</w:t>
      </w:r>
      <w:r w:rsidRPr="006632CD">
        <w:rPr>
          <w:rFonts w:ascii="Century Gothic" w:eastAsia="Times New Roman" w:hAnsi="Century Gothic" w:cstheme="minorHAnsi"/>
          <w:bCs/>
          <w:lang w:eastAsia="es-ES"/>
        </w:rPr>
        <w:t xml:space="preserve">, con al menos 24 horas de antelación a la operación, y debe ir dirigida al departamento </w:t>
      </w:r>
      <w:r w:rsidRPr="006632CD">
        <w:rPr>
          <w:rFonts w:ascii="Century Gothic" w:eastAsia="Times New Roman" w:hAnsi="Century Gothic" w:cstheme="minorHAnsi"/>
          <w:bCs/>
          <w:color w:val="FF0000"/>
          <w:lang w:eastAsia="es-ES"/>
        </w:rPr>
        <w:t>XXX,</w:t>
      </w:r>
      <w:r w:rsidRPr="006632CD">
        <w:rPr>
          <w:rFonts w:ascii="Century Gothic" w:eastAsia="Times New Roman" w:hAnsi="Century Gothic" w:cstheme="minorHAnsi"/>
          <w:bCs/>
          <w:lang w:eastAsia="es-ES"/>
        </w:rPr>
        <w:t xml:space="preserve"> a la dirección de correo electrónico </w:t>
      </w:r>
      <w:r w:rsidRPr="006632CD">
        <w:rPr>
          <w:rFonts w:ascii="Century Gothic" w:eastAsia="Times New Roman" w:hAnsi="Century Gothic" w:cstheme="minorHAnsi"/>
          <w:bCs/>
          <w:color w:val="FF0000"/>
          <w:lang w:eastAsia="es-ES"/>
        </w:rPr>
        <w:t>XXXXX</w:t>
      </w:r>
      <w:r w:rsidRPr="006632CD">
        <w:rPr>
          <w:rFonts w:ascii="Century Gothic" w:eastAsia="Times New Roman" w:hAnsi="Century Gothic" w:cstheme="minorHAnsi"/>
          <w:bCs/>
          <w:lang w:eastAsia="es-ES"/>
        </w:rPr>
        <w:t xml:space="preserve">, entre las </w:t>
      </w:r>
      <w:r w:rsidRPr="006632CD">
        <w:rPr>
          <w:rFonts w:ascii="Century Gothic" w:eastAsia="Times New Roman" w:hAnsi="Century Gothic" w:cstheme="minorHAnsi"/>
          <w:bCs/>
          <w:color w:val="FF0000"/>
          <w:lang w:eastAsia="es-ES"/>
        </w:rPr>
        <w:t>XX</w:t>
      </w:r>
      <w:r w:rsidRPr="006632CD">
        <w:rPr>
          <w:rFonts w:ascii="Century Gothic" w:eastAsia="Times New Roman" w:hAnsi="Century Gothic" w:cstheme="minorHAnsi"/>
          <w:bCs/>
          <w:lang w:eastAsia="es-ES"/>
        </w:rPr>
        <w:t xml:space="preserve"> y las </w:t>
      </w:r>
      <w:r w:rsidRPr="006632CD">
        <w:rPr>
          <w:rFonts w:ascii="Century Gothic" w:eastAsia="Times New Roman" w:hAnsi="Century Gothic" w:cstheme="minorHAnsi"/>
          <w:bCs/>
          <w:color w:val="FF0000"/>
          <w:lang w:eastAsia="es-ES"/>
        </w:rPr>
        <w:t>XX</w:t>
      </w:r>
      <w:r w:rsidRPr="006632CD">
        <w:rPr>
          <w:rFonts w:ascii="Century Gothic" w:eastAsia="Times New Roman" w:hAnsi="Century Gothic" w:cstheme="minorHAnsi"/>
          <w:bCs/>
          <w:lang w:eastAsia="es-ES"/>
        </w:rPr>
        <w:t xml:space="preserve"> horas en días laborables. En la notificación debe indicarse en el asunto: “Notificación de suministro de GNL, Bio-GNL y e-GNL” e ir incluido el nombre del buque, el muelle en el que se solicita autorización para efectuar el suministro, la empresa suministradora, la cantidad de combustible a suministrar, fecha y hora prevista de inicio y finalización de la operación, las matrículas de los camiones cisterna, el nombre de los conductores de los vehículos, la matrícula del vehículo auxiliar y el nombre y número de teléfono del consejero de seguridad designado por la empresa transportista, según el modelo del</w:t>
      </w:r>
      <w:r w:rsidRPr="006632CD">
        <w:rPr>
          <w:rFonts w:ascii="Century Gothic" w:eastAsia="Times New Roman" w:hAnsi="Century Gothic" w:cstheme="minorHAnsi"/>
          <w:b/>
          <w:lang w:eastAsia="es-ES"/>
        </w:rPr>
        <w:t xml:space="preserve"> Anexo I.a)</w:t>
      </w:r>
      <w:r w:rsidR="000C5F92">
        <w:rPr>
          <w:rFonts w:ascii="Century Gothic" w:eastAsia="Times New Roman" w:hAnsi="Century Gothic" w:cstheme="minorHAnsi"/>
          <w:b/>
          <w:lang w:eastAsia="es-ES"/>
        </w:rPr>
        <w:t xml:space="preserve"> siguiente.</w:t>
      </w:r>
    </w:p>
    <w:p w14:paraId="76A15ED5" w14:textId="77777777" w:rsidR="001C5F3C" w:rsidRDefault="001C5F3C" w:rsidP="001C5F3C">
      <w:pPr>
        <w:pStyle w:val="Prrafodelista"/>
        <w:spacing w:after="0" w:line="276" w:lineRule="auto"/>
        <w:ind w:left="426"/>
        <w:jc w:val="both"/>
        <w:rPr>
          <w:rFonts w:ascii="Century Gothic" w:eastAsia="Times New Roman" w:hAnsi="Century Gothic" w:cstheme="minorHAnsi"/>
          <w:b/>
          <w:lang w:eastAsia="es-ES"/>
        </w:rPr>
      </w:pPr>
    </w:p>
    <w:p w14:paraId="27C01781" w14:textId="10A9F0AA" w:rsidR="001C5F3C" w:rsidRPr="002540BF" w:rsidRDefault="001C5F3C" w:rsidP="006965D8">
      <w:pPr>
        <w:pStyle w:val="Prrafodelista"/>
        <w:numPr>
          <w:ilvl w:val="1"/>
          <w:numId w:val="67"/>
        </w:numPr>
        <w:spacing w:after="0" w:line="276" w:lineRule="auto"/>
        <w:ind w:left="142" w:firstLine="0"/>
        <w:jc w:val="both"/>
        <w:rPr>
          <w:rFonts w:ascii="Century Gothic" w:eastAsia="Times New Roman" w:hAnsi="Century Gothic" w:cstheme="minorHAnsi"/>
          <w:b/>
          <w:lang w:eastAsia="es-ES"/>
        </w:rPr>
      </w:pPr>
      <w:r w:rsidRPr="002540BF">
        <w:rPr>
          <w:rFonts w:ascii="Century Gothic" w:eastAsia="Times New Roman" w:hAnsi="Century Gothic" w:cstheme="minorHAnsi"/>
          <w:bCs/>
          <w:lang w:eastAsia="es-ES"/>
        </w:rPr>
        <w:t>Las modificaciones a la notificación de suministro que no tengan consecuencias respecto de la viabilidad del suministro (matrículas, nombre de los conductores de los vehículos, etc.) podrán comunicarse en un plazo inferior a 24 horas de antelación al inicio de la operación.</w:t>
      </w:r>
    </w:p>
    <w:p w14:paraId="0F5268BD" w14:textId="77777777" w:rsidR="001C5F3C" w:rsidRPr="00AD5AC3" w:rsidRDefault="001C5F3C" w:rsidP="002540BF">
      <w:pPr>
        <w:pStyle w:val="Prrafodelista"/>
        <w:ind w:left="142"/>
        <w:rPr>
          <w:rFonts w:ascii="Century Gothic" w:eastAsia="Times New Roman" w:hAnsi="Century Gothic" w:cstheme="minorHAnsi"/>
          <w:bCs/>
          <w:lang w:eastAsia="es-ES"/>
        </w:rPr>
      </w:pPr>
    </w:p>
    <w:p w14:paraId="6788C8F7" w14:textId="77777777" w:rsidR="001C5F3C" w:rsidRPr="00AD5AC3" w:rsidRDefault="001C5F3C" w:rsidP="006965D8">
      <w:pPr>
        <w:pStyle w:val="Prrafodelista"/>
        <w:numPr>
          <w:ilvl w:val="1"/>
          <w:numId w:val="67"/>
        </w:numPr>
        <w:spacing w:after="0" w:line="276" w:lineRule="auto"/>
        <w:ind w:left="142" w:firstLine="0"/>
        <w:jc w:val="both"/>
        <w:rPr>
          <w:rFonts w:ascii="Century Gothic" w:eastAsia="Times New Roman" w:hAnsi="Century Gothic" w:cstheme="minorHAnsi"/>
          <w:b/>
          <w:lang w:eastAsia="es-ES"/>
        </w:rPr>
      </w:pPr>
      <w:r w:rsidRPr="00AD5AC3">
        <w:rPr>
          <w:rFonts w:ascii="Century Gothic" w:eastAsia="Times New Roman" w:hAnsi="Century Gothic" w:cstheme="minorHAnsi"/>
          <w:bCs/>
          <w:lang w:eastAsia="es-ES"/>
        </w:rPr>
        <w:t>Debe informarse a la empresa consignataria del buque de la realización de este suministro, para que organice con la empresa terminalista la distribución de los espacios en la terminal para poder mantener las distancias de seguridad y tener habilitada una vía de escape para las cisternas en caso de emergencia.</w:t>
      </w:r>
    </w:p>
    <w:p w14:paraId="05928F50" w14:textId="77777777" w:rsidR="001C5F3C" w:rsidRPr="00AD5AC3" w:rsidRDefault="001C5F3C" w:rsidP="002540BF">
      <w:pPr>
        <w:pStyle w:val="Prrafodelista"/>
        <w:ind w:left="142"/>
        <w:rPr>
          <w:rFonts w:ascii="Century Gothic" w:eastAsia="Times New Roman" w:hAnsi="Century Gothic" w:cstheme="minorHAnsi"/>
          <w:bCs/>
          <w:lang w:eastAsia="es-ES"/>
        </w:rPr>
      </w:pPr>
    </w:p>
    <w:p w14:paraId="6290B2E6" w14:textId="77777777" w:rsidR="001C5F3C" w:rsidRPr="00AD5AC3" w:rsidRDefault="001C5F3C" w:rsidP="006965D8">
      <w:pPr>
        <w:pStyle w:val="Prrafodelista"/>
        <w:numPr>
          <w:ilvl w:val="1"/>
          <w:numId w:val="67"/>
        </w:numPr>
        <w:spacing w:after="0" w:line="276" w:lineRule="auto"/>
        <w:ind w:left="142" w:firstLine="0"/>
        <w:jc w:val="both"/>
        <w:rPr>
          <w:rFonts w:ascii="Century Gothic" w:eastAsia="Times New Roman" w:hAnsi="Century Gothic" w:cstheme="minorHAnsi"/>
          <w:b/>
          <w:lang w:eastAsia="es-ES"/>
        </w:rPr>
      </w:pPr>
      <w:r w:rsidRPr="00AD5AC3">
        <w:rPr>
          <w:rFonts w:ascii="Century Gothic" w:eastAsia="Times New Roman" w:hAnsi="Century Gothic" w:cstheme="minorHAnsi"/>
          <w:bCs/>
          <w:lang w:eastAsia="es-ES"/>
        </w:rPr>
        <w:t>En las operaciones de avituallamiento, se podrá contar con un vehículo auxiliar destinado al apoyo logístico de la operación y deberá estar presente un responsable instruido que colaborará con el conductor en las labores de avituallamiento y que será la persona responsable de velar por el cumplimiento de las medidas de seguridad y protección medioambiental y la que notificará al Centro de Control de la Autoridad Portuaria el inicio y final de la operación.</w:t>
      </w:r>
    </w:p>
    <w:p w14:paraId="642BFC4A" w14:textId="77777777" w:rsidR="001C5F3C" w:rsidRPr="00AD5AC3" w:rsidRDefault="001C5F3C" w:rsidP="002540BF">
      <w:pPr>
        <w:pStyle w:val="Prrafodelista"/>
        <w:ind w:left="142"/>
        <w:rPr>
          <w:rFonts w:ascii="Century Gothic" w:eastAsia="Times New Roman" w:hAnsi="Century Gothic" w:cstheme="minorHAnsi"/>
          <w:bCs/>
          <w:lang w:eastAsia="es-ES"/>
        </w:rPr>
      </w:pPr>
    </w:p>
    <w:p w14:paraId="067AA1D1" w14:textId="77777777" w:rsidR="001C5F3C" w:rsidRPr="00AD5AC3" w:rsidRDefault="001C5F3C" w:rsidP="006965D8">
      <w:pPr>
        <w:pStyle w:val="Prrafodelista"/>
        <w:numPr>
          <w:ilvl w:val="1"/>
          <w:numId w:val="67"/>
        </w:numPr>
        <w:spacing w:after="0" w:line="276" w:lineRule="auto"/>
        <w:ind w:left="142" w:firstLine="0"/>
        <w:jc w:val="both"/>
        <w:rPr>
          <w:rFonts w:ascii="Century Gothic" w:eastAsia="Times New Roman" w:hAnsi="Century Gothic" w:cstheme="minorHAnsi"/>
          <w:b/>
          <w:lang w:eastAsia="es-ES"/>
        </w:rPr>
      </w:pPr>
      <w:r w:rsidRPr="00AD5AC3">
        <w:rPr>
          <w:rFonts w:ascii="Century Gothic" w:eastAsia="Times New Roman" w:hAnsi="Century Gothic" w:cstheme="minorHAnsi"/>
          <w:bCs/>
          <w:lang w:eastAsia="es-ES"/>
        </w:rPr>
        <w:t>De disponerse, el vehículo auxiliar de asistencia deberá llevar la siguiente dotación de emergencia: explosímetro, señales de aviso de peligro (vehículo en descarga), herramientas antideflagrantes, equipo personal ignífugo y antiestático, extintor 50 kg polvo ABC, válvulas de seguridad, acoples, bridas, mangueras, etc.</w:t>
      </w:r>
    </w:p>
    <w:p w14:paraId="299E76DD" w14:textId="77777777" w:rsidR="001C5F3C" w:rsidRPr="00AD5AC3" w:rsidRDefault="001C5F3C" w:rsidP="002540BF">
      <w:pPr>
        <w:pStyle w:val="Prrafodelista"/>
        <w:ind w:left="142"/>
        <w:rPr>
          <w:rFonts w:ascii="Century Gothic" w:eastAsia="Times New Roman" w:hAnsi="Century Gothic" w:cstheme="minorHAnsi"/>
          <w:bCs/>
          <w:lang w:eastAsia="es-ES"/>
        </w:rPr>
      </w:pPr>
    </w:p>
    <w:p w14:paraId="3F42CF02" w14:textId="77777777" w:rsidR="001C5F3C" w:rsidRPr="00AD5AC3" w:rsidRDefault="001C5F3C" w:rsidP="006965D8">
      <w:pPr>
        <w:pStyle w:val="Prrafodelista"/>
        <w:numPr>
          <w:ilvl w:val="1"/>
          <w:numId w:val="67"/>
        </w:numPr>
        <w:spacing w:after="0" w:line="276" w:lineRule="auto"/>
        <w:ind w:left="142" w:firstLine="0"/>
        <w:jc w:val="both"/>
        <w:rPr>
          <w:rFonts w:ascii="Century Gothic" w:eastAsia="Times New Roman" w:hAnsi="Century Gothic" w:cstheme="minorHAnsi"/>
          <w:b/>
          <w:lang w:eastAsia="es-ES"/>
        </w:rPr>
      </w:pPr>
      <w:r w:rsidRPr="00AD5AC3">
        <w:rPr>
          <w:rFonts w:ascii="Century Gothic" w:eastAsia="Times New Roman" w:hAnsi="Century Gothic" w:cstheme="minorHAnsi"/>
          <w:bCs/>
          <w:lang w:eastAsia="es-ES"/>
        </w:rPr>
        <w:t xml:space="preserve">Antes del comienzo de la operación se debe cumplimentar la “Lista de Seguridad” que figura en el </w:t>
      </w:r>
      <w:r w:rsidRPr="00AD5AC3">
        <w:rPr>
          <w:rFonts w:ascii="Century Gothic" w:eastAsia="Times New Roman" w:hAnsi="Century Gothic" w:cstheme="minorHAnsi"/>
          <w:b/>
          <w:lang w:eastAsia="es-ES"/>
        </w:rPr>
        <w:t>Anexo I.b).</w:t>
      </w:r>
      <w:r w:rsidRPr="00AD5AC3">
        <w:rPr>
          <w:rFonts w:ascii="Century Gothic" w:eastAsia="Times New Roman" w:hAnsi="Century Gothic" w:cstheme="minorHAnsi"/>
          <w:bCs/>
          <w:lang w:eastAsia="es-ES"/>
        </w:rPr>
        <w:t xml:space="preserve"> En caso de darse una o varias respuestas negativas a alguna de las preguntas de la “Lista de Seguridad” deberán atenerse a lo siguiente:</w:t>
      </w:r>
    </w:p>
    <w:p w14:paraId="010C4796" w14:textId="77777777" w:rsidR="001C5F3C" w:rsidRDefault="001C5F3C" w:rsidP="006965D8">
      <w:pPr>
        <w:pStyle w:val="Prrafodelista"/>
        <w:numPr>
          <w:ilvl w:val="2"/>
          <w:numId w:val="26"/>
        </w:numPr>
        <w:spacing w:after="0" w:line="276" w:lineRule="auto"/>
        <w:ind w:left="142" w:firstLine="0"/>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No comenzar las operaciones de suministro.</w:t>
      </w:r>
    </w:p>
    <w:p w14:paraId="4F230063" w14:textId="77777777" w:rsidR="001C5F3C" w:rsidRPr="009570BA" w:rsidRDefault="001C5F3C" w:rsidP="006965D8">
      <w:pPr>
        <w:pStyle w:val="Prrafodelista"/>
        <w:numPr>
          <w:ilvl w:val="2"/>
          <w:numId w:val="26"/>
        </w:numPr>
        <w:spacing w:after="0" w:line="276" w:lineRule="auto"/>
        <w:ind w:left="142" w:firstLine="0"/>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Poner en conocimiento de la Autoridad Portuaria:</w:t>
      </w:r>
    </w:p>
    <w:p w14:paraId="0CD2A6F8" w14:textId="77777777" w:rsidR="001C5F3C" w:rsidRDefault="001C5F3C" w:rsidP="002540BF">
      <w:pPr>
        <w:pStyle w:val="Prrafodelista"/>
        <w:spacing w:after="0" w:line="276" w:lineRule="auto"/>
        <w:ind w:left="142"/>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 xml:space="preserve">a) </w:t>
      </w:r>
      <w:r w:rsidRPr="009570BA">
        <w:rPr>
          <w:rFonts w:ascii="Century Gothic" w:eastAsia="Times New Roman" w:hAnsi="Century Gothic" w:cstheme="minorHAnsi"/>
          <w:bCs/>
          <w:lang w:eastAsia="es-ES"/>
        </w:rPr>
        <w:t>Los puntos de la lista que no se cumplen y causas</w:t>
      </w:r>
    </w:p>
    <w:p w14:paraId="085C1E3C" w14:textId="77777777" w:rsidR="001C5F3C" w:rsidRDefault="001C5F3C" w:rsidP="002540BF">
      <w:pPr>
        <w:pStyle w:val="Prrafodelista"/>
        <w:spacing w:after="0" w:line="276" w:lineRule="auto"/>
        <w:ind w:left="142"/>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 xml:space="preserve">b) </w:t>
      </w:r>
      <w:r w:rsidRPr="009570BA">
        <w:rPr>
          <w:rFonts w:ascii="Century Gothic" w:eastAsia="Times New Roman" w:hAnsi="Century Gothic" w:cstheme="minorHAnsi"/>
          <w:bCs/>
          <w:lang w:eastAsia="es-ES"/>
        </w:rPr>
        <w:t>Acuerdos alcanzados entre el capitán del buque y el conductor de la cisterna sobre precauciones de seguridad especiales para efectuar el suministro con las deficiencias del punto a.</w:t>
      </w:r>
    </w:p>
    <w:p w14:paraId="5100A8BB" w14:textId="77777777" w:rsidR="001C5F3C" w:rsidRPr="009570BA" w:rsidRDefault="001C5F3C" w:rsidP="002540BF">
      <w:pPr>
        <w:pStyle w:val="Prrafodelista"/>
        <w:spacing w:after="0" w:line="276" w:lineRule="auto"/>
        <w:ind w:left="142"/>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 xml:space="preserve">c) </w:t>
      </w:r>
      <w:r w:rsidRPr="009570BA">
        <w:rPr>
          <w:rFonts w:ascii="Century Gothic" w:eastAsia="Times New Roman" w:hAnsi="Century Gothic" w:cstheme="minorHAnsi"/>
          <w:bCs/>
          <w:lang w:eastAsia="es-ES"/>
        </w:rPr>
        <w:t>Solicitud de autorización de continuar la operación con las medidas propuestas.</w:t>
      </w:r>
    </w:p>
    <w:p w14:paraId="2155EBF9" w14:textId="77777777" w:rsidR="001C5F3C" w:rsidRDefault="001C5F3C" w:rsidP="002540BF">
      <w:pPr>
        <w:spacing w:after="0" w:line="276" w:lineRule="auto"/>
        <w:ind w:left="142"/>
        <w:jc w:val="both"/>
        <w:rPr>
          <w:rFonts w:ascii="Century Gothic" w:eastAsia="Times New Roman" w:hAnsi="Century Gothic" w:cstheme="minorHAnsi"/>
          <w:bCs/>
          <w:lang w:eastAsia="es-ES"/>
        </w:rPr>
      </w:pPr>
    </w:p>
    <w:p w14:paraId="784A615B" w14:textId="77777777" w:rsidR="001C5F3C" w:rsidRDefault="001C5F3C" w:rsidP="001C5F3C">
      <w:p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No se realizará ninguna operación hasta que los puntos de la “Lista de Seguridad” sean contestados afirmativamente o, en su defecto hasta que se haya obtenido permiso expreso de la Autoridad Portuaria.</w:t>
      </w:r>
    </w:p>
    <w:p w14:paraId="5885DF36" w14:textId="77777777" w:rsidR="001C5F3C" w:rsidRDefault="001C5F3C" w:rsidP="001C5F3C">
      <w:pPr>
        <w:spacing w:after="0" w:line="276" w:lineRule="auto"/>
        <w:jc w:val="both"/>
        <w:rPr>
          <w:rFonts w:ascii="Century Gothic" w:eastAsia="Times New Roman" w:hAnsi="Century Gothic" w:cstheme="minorHAnsi"/>
          <w:b/>
          <w:lang w:eastAsia="es-ES"/>
        </w:rPr>
      </w:pPr>
    </w:p>
    <w:p w14:paraId="22D0FDE6" w14:textId="77777777" w:rsidR="001C5F3C" w:rsidRPr="009F62D5" w:rsidRDefault="001C5F3C" w:rsidP="006965D8">
      <w:pPr>
        <w:pStyle w:val="Prrafodelista"/>
        <w:numPr>
          <w:ilvl w:val="0"/>
          <w:numId w:val="69"/>
        </w:numPr>
        <w:spacing w:line="278" w:lineRule="auto"/>
        <w:jc w:val="both"/>
        <w:rPr>
          <w:rFonts w:ascii="Century Gothic" w:eastAsia="Times New Roman" w:hAnsi="Century Gothic" w:cstheme="minorHAnsi"/>
          <w:b/>
          <w:lang w:eastAsia="es-ES"/>
        </w:rPr>
      </w:pPr>
      <w:r w:rsidRPr="009F62D5">
        <w:rPr>
          <w:rFonts w:ascii="Century Gothic" w:hAnsi="Century Gothic"/>
          <w:b/>
          <w:bCs/>
        </w:rPr>
        <w:t>Normas generales</w:t>
      </w:r>
    </w:p>
    <w:p w14:paraId="46A92DE1" w14:textId="77777777" w:rsidR="001C5F3C" w:rsidRPr="009F62D5" w:rsidRDefault="001C5F3C" w:rsidP="001C5F3C">
      <w:pPr>
        <w:pStyle w:val="Prrafodelista"/>
        <w:spacing w:line="278" w:lineRule="auto"/>
        <w:jc w:val="both"/>
        <w:rPr>
          <w:rFonts w:ascii="Century Gothic" w:eastAsia="Times New Roman" w:hAnsi="Century Gothic" w:cstheme="minorHAnsi"/>
          <w:b/>
          <w:lang w:eastAsia="es-ES"/>
        </w:rPr>
      </w:pPr>
    </w:p>
    <w:p w14:paraId="6351FBF5"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Se debe separar físicamente esta operación del resto de actividades del puerto.</w:t>
      </w:r>
    </w:p>
    <w:p w14:paraId="5B3BE36F"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El buque debe estar amarrado al muelle asignado para la operación (nunca abarloado a otro buque).</w:t>
      </w:r>
    </w:p>
    <w:p w14:paraId="2390F5B6"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La zona donde se va a realizar la operación debe estar señalizada y delimitada con vallas y/o conos, y restringirse el paso a personal ajeno a la operación, tanto en tierra como en los canales navegables del puerto. Se despejará una zona de muelle para la salida rápida del camión de suministro u otros en caso de emergencia</w:t>
      </w:r>
      <w:r>
        <w:rPr>
          <w:rFonts w:ascii="Century Gothic" w:eastAsia="Times New Roman" w:hAnsi="Century Gothic" w:cstheme="minorHAnsi"/>
          <w:bCs/>
          <w:lang w:eastAsia="es-ES"/>
        </w:rPr>
        <w:t>.</w:t>
      </w:r>
    </w:p>
    <w:p w14:paraId="0B2F1F89"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Toda persona que acceda a las inmediaciones de la zona de descarga deberá estar identificada y conocer los procedimientos de seguridad establecidos.</w:t>
      </w:r>
    </w:p>
    <w:p w14:paraId="29D98B22"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El buque debe tener enarbolada la bandera “B” del Código Internacional de Señales, o la luz roja equivalente, si es de noche.</w:t>
      </w:r>
    </w:p>
    <w:p w14:paraId="19BB7251"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El conductor del camión dispondrá de una copia de la autorización de suministro.</w:t>
      </w:r>
    </w:p>
    <w:p w14:paraId="471D5488" w14:textId="77777777" w:rsidR="001C5F3C" w:rsidRPr="00031E38"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Se prohíbe el suministro mientras se realiza carga o descarga de mercancía u operaciones de avituallamiento con ayuda de medios mecánicos que puedan provocar la caída de objetos</w:t>
      </w:r>
      <w:r>
        <w:rPr>
          <w:rFonts w:ascii="Century Gothic" w:eastAsia="Times New Roman" w:hAnsi="Century Gothic" w:cstheme="minorHAnsi"/>
          <w:bCs/>
          <w:lang w:eastAsia="es-ES"/>
        </w:rPr>
        <w:t xml:space="preserve"> sobre la zona de descarga</w:t>
      </w:r>
      <w:r w:rsidRPr="00031E38">
        <w:rPr>
          <w:rFonts w:ascii="Century Gothic" w:eastAsia="Times New Roman" w:hAnsi="Century Gothic" w:cstheme="minorHAnsi"/>
          <w:bCs/>
          <w:lang w:eastAsia="es-ES"/>
        </w:rPr>
        <w:t xml:space="preserve"> y/o la escora del buque, lo que afectaría a la operación de suministro.</w:t>
      </w:r>
    </w:p>
    <w:p w14:paraId="4B40CDB5"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 xml:space="preserve">En ningún caso se suministrará combustible a un buque escorado o con condiciones de estabilidad, flotabilidad o francobordo comprometidas. </w:t>
      </w:r>
    </w:p>
    <w:p w14:paraId="10206C9A"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En caso de condiciones climatológicas adversas que puedan afectar a la seguridad de la operación, ésta se debe interrumpir inmediatamente.</w:t>
      </w:r>
    </w:p>
    <w:p w14:paraId="46F30D3D" w14:textId="77777777" w:rsidR="001C5F3C"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lastRenderedPageBreak/>
        <w:t>Se debe realizar la descarga de la electricidad estática del vehículo antes del inicio de la operación y utilizar en todo momento herramientas antideflagrantes para evitar la aparición de chispas.</w:t>
      </w:r>
    </w:p>
    <w:p w14:paraId="754FA6F6" w14:textId="77777777" w:rsidR="001C5F3C" w:rsidRPr="00943611" w:rsidRDefault="001C5F3C" w:rsidP="006965D8">
      <w:pPr>
        <w:pStyle w:val="Prrafodelista"/>
        <w:numPr>
          <w:ilvl w:val="0"/>
          <w:numId w:val="27"/>
        </w:numPr>
        <w:tabs>
          <w:tab w:val="left" w:pos="0"/>
        </w:tabs>
        <w:spacing w:after="0" w:line="276" w:lineRule="auto"/>
        <w:jc w:val="both"/>
        <w:rPr>
          <w:rFonts w:ascii="Century Gothic" w:hAnsi="Century Gothic" w:cstheme="minorHAnsi"/>
        </w:rPr>
      </w:pPr>
      <w:r>
        <w:rPr>
          <w:rFonts w:ascii="Century Gothic" w:hAnsi="Century Gothic" w:cstheme="minorHAnsi"/>
        </w:rPr>
        <w:t xml:space="preserve">En caso de que la prestación del servicio sea realizada en zona donde se dispongan de instalaciones para la prestación del servicio de suministro eléctrico a buques (OPS), el prestador del servicio de suministro de combustible deberá coordinarse con el prestador del servicio de OPS de modo que se garanticen las condiciones de la instalación de OPS que sean precisas para el suministro seguro del GNL, del BIO-GNL o del e-GNL. </w:t>
      </w:r>
    </w:p>
    <w:p w14:paraId="0BC5285A"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Este tipo de operaciones debe realizarse con cisternas de vacío que evitarían venteos de gas innecesarios durante la espera, y con una bomba de impulsión criogénica para conferir rapidez a la descarga.</w:t>
      </w:r>
    </w:p>
    <w:p w14:paraId="25A9B746" w14:textId="77777777" w:rsidR="001C5F3C" w:rsidRPr="009570BA" w:rsidRDefault="001C5F3C" w:rsidP="006965D8">
      <w:pPr>
        <w:pStyle w:val="Prrafodelista"/>
        <w:numPr>
          <w:ilvl w:val="0"/>
          <w:numId w:val="27"/>
        </w:numPr>
        <w:spacing w:after="0" w:line="276" w:lineRule="auto"/>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 xml:space="preserve">En las inmediaciones de la conexión debe haber un extintor de 50 kg de polvo y un sistema de detección de escape de gases, además de estar preparado el sistema contra incendios del buque para actuar rápidamente ante cualquier eventualidad. </w:t>
      </w:r>
    </w:p>
    <w:p w14:paraId="7AE8C334" w14:textId="77777777" w:rsidR="001C5F3C" w:rsidRPr="009570BA" w:rsidRDefault="001C5F3C" w:rsidP="006965D8">
      <w:pPr>
        <w:pStyle w:val="Prrafodelista"/>
        <w:numPr>
          <w:ilvl w:val="0"/>
          <w:numId w:val="27"/>
        </w:numPr>
        <w:spacing w:after="0" w:line="276" w:lineRule="auto"/>
        <w:ind w:hanging="357"/>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El punto de atraque debe permitir las operaciones necesarias en los tanques de combustible como son la liberación de gases e inertización antes y después de las labores de mantenimiento del buque.</w:t>
      </w:r>
    </w:p>
    <w:p w14:paraId="4E95ACBB" w14:textId="77777777" w:rsidR="001C5F3C" w:rsidRPr="009570BA" w:rsidRDefault="001C5F3C" w:rsidP="006965D8">
      <w:pPr>
        <w:pStyle w:val="Prrafodelista"/>
        <w:numPr>
          <w:ilvl w:val="0"/>
          <w:numId w:val="27"/>
        </w:numPr>
        <w:spacing w:after="0" w:line="276" w:lineRule="auto"/>
        <w:ind w:hanging="357"/>
        <w:jc w:val="both"/>
        <w:rPr>
          <w:rFonts w:ascii="Century Gothic" w:eastAsia="Times New Roman" w:hAnsi="Century Gothic" w:cstheme="minorHAnsi"/>
          <w:bCs/>
          <w:lang w:eastAsia="es-ES"/>
        </w:rPr>
      </w:pPr>
      <w:r w:rsidRPr="009570BA">
        <w:rPr>
          <w:rFonts w:ascii="Century Gothic" w:eastAsia="Times New Roman" w:hAnsi="Century Gothic" w:cstheme="minorHAnsi"/>
          <w:bCs/>
          <w:lang w:eastAsia="es-ES"/>
        </w:rPr>
        <w:t xml:space="preserve">Antes del inicio de la descarga, tanto el </w:t>
      </w:r>
      <w:r w:rsidRPr="00DD29DA">
        <w:rPr>
          <w:rFonts w:ascii="Century Gothic" w:eastAsia="Times New Roman" w:hAnsi="Century Gothic" w:cstheme="minorHAnsi"/>
          <w:bCs/>
          <w:lang w:eastAsia="es-ES"/>
        </w:rPr>
        <w:t>Responsable de la coordinación y la seguridad de la operación de suministro “in situ”</w:t>
      </w:r>
      <w:r>
        <w:rPr>
          <w:rFonts w:ascii="Century Gothic" w:eastAsia="Times New Roman" w:hAnsi="Century Gothic" w:cstheme="minorHAnsi"/>
          <w:bCs/>
          <w:lang w:eastAsia="es-ES"/>
        </w:rPr>
        <w:t xml:space="preserve"> </w:t>
      </w:r>
      <w:r w:rsidRPr="009570BA">
        <w:rPr>
          <w:rFonts w:ascii="Century Gothic" w:eastAsia="Times New Roman" w:hAnsi="Century Gothic" w:cstheme="minorHAnsi"/>
          <w:bCs/>
          <w:lang w:eastAsia="es-ES"/>
        </w:rPr>
        <w:t xml:space="preserve">como el responsable del buque, se asegurarán de que en el área de descarga y en sus proximidades no existe a menos </w:t>
      </w:r>
      <w:r w:rsidRPr="00811EEF">
        <w:rPr>
          <w:rFonts w:ascii="Century Gothic" w:eastAsia="Times New Roman" w:hAnsi="Century Gothic" w:cstheme="minorHAnsi"/>
          <w:bCs/>
          <w:lang w:eastAsia="es-ES"/>
        </w:rPr>
        <w:t>de 15 metros:</w:t>
      </w:r>
    </w:p>
    <w:p w14:paraId="5F10721A" w14:textId="77777777" w:rsidR="001C5F3C" w:rsidRPr="00827FF5" w:rsidRDefault="001C5F3C" w:rsidP="006965D8">
      <w:pPr>
        <w:pStyle w:val="Prrafodelista"/>
        <w:numPr>
          <w:ilvl w:val="0"/>
          <w:numId w:val="33"/>
        </w:numPr>
        <w:spacing w:after="0" w:line="276" w:lineRule="auto"/>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Ningún punto de fuego</w:t>
      </w:r>
    </w:p>
    <w:p w14:paraId="14F62611" w14:textId="77777777" w:rsidR="001C5F3C" w:rsidRPr="00827FF5" w:rsidRDefault="001C5F3C" w:rsidP="006965D8">
      <w:pPr>
        <w:pStyle w:val="Prrafodelista"/>
        <w:numPr>
          <w:ilvl w:val="0"/>
          <w:numId w:val="33"/>
        </w:numPr>
        <w:spacing w:after="0" w:line="276" w:lineRule="auto"/>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Ninguna persona fumando</w:t>
      </w:r>
    </w:p>
    <w:p w14:paraId="421F0CC1" w14:textId="77777777" w:rsidR="001C5F3C" w:rsidRPr="00827FF5" w:rsidRDefault="001C5F3C" w:rsidP="006965D8">
      <w:pPr>
        <w:pStyle w:val="Prrafodelista"/>
        <w:numPr>
          <w:ilvl w:val="0"/>
          <w:numId w:val="33"/>
        </w:numPr>
        <w:spacing w:after="0" w:line="276" w:lineRule="auto"/>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Ningún vehículo con el motor en marcha (excepto el motor de la tractora para que alimente la bomba criogénica).</w:t>
      </w:r>
    </w:p>
    <w:p w14:paraId="3C3912E4" w14:textId="77777777" w:rsidR="001C5F3C" w:rsidRPr="00827FF5" w:rsidRDefault="001C5F3C" w:rsidP="006965D8">
      <w:pPr>
        <w:pStyle w:val="Prrafodelista"/>
        <w:numPr>
          <w:ilvl w:val="0"/>
          <w:numId w:val="33"/>
        </w:numPr>
        <w:spacing w:after="0" w:line="276" w:lineRule="auto"/>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Ningún equipo eléctrico no antideflagrante conectado</w:t>
      </w:r>
    </w:p>
    <w:p w14:paraId="7496994E" w14:textId="77777777" w:rsidR="001C5F3C" w:rsidRDefault="001C5F3C" w:rsidP="006965D8">
      <w:pPr>
        <w:pStyle w:val="Prrafodelista"/>
        <w:numPr>
          <w:ilvl w:val="0"/>
          <w:numId w:val="33"/>
        </w:numPr>
        <w:spacing w:after="0" w:line="276" w:lineRule="auto"/>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Presencia de gas (comprobar con explosímetro)</w:t>
      </w:r>
      <w:r>
        <w:rPr>
          <w:rFonts w:ascii="Century Gothic" w:eastAsia="Times New Roman" w:hAnsi="Century Gothic" w:cstheme="minorHAnsi"/>
          <w:bCs/>
          <w:lang w:eastAsia="es-ES"/>
        </w:rPr>
        <w:t>.</w:t>
      </w:r>
    </w:p>
    <w:p w14:paraId="5084356E" w14:textId="77777777" w:rsidR="001C5F3C" w:rsidRPr="00827FF5"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El suministrador y el buque receptor se asegurarán previamente al inicio de las operaciones de suministro de la compatibilidad y el correcto funcionamiento de todos los sistemas.</w:t>
      </w:r>
    </w:p>
    <w:p w14:paraId="7B028C9B" w14:textId="77777777" w:rsidR="001C5F3C" w:rsidRPr="00827FF5"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 xml:space="preserve">Debe existir una excelente comunicación entre el buque y el suministrador. Se recomienda que exista una persona en tierra y otra en el buque que se encarguen exclusivamente de vigilar el proceso para poder comunicar inmediatamente cualquier incidencia que pudiera ocurrir. Es necesario que se realice con un walkie-talkie </w:t>
      </w:r>
      <w:r w:rsidRPr="00C1551D">
        <w:rPr>
          <w:rFonts w:ascii="Century Gothic" w:eastAsia="Times New Roman" w:hAnsi="Century Gothic" w:cstheme="minorHAnsi"/>
          <w:bCs/>
          <w:lang w:eastAsia="es-ES"/>
        </w:rPr>
        <w:t>adapta</w:t>
      </w:r>
      <w:r>
        <w:rPr>
          <w:rFonts w:ascii="Century Gothic" w:eastAsia="Times New Roman" w:hAnsi="Century Gothic" w:cstheme="minorHAnsi"/>
          <w:bCs/>
          <w:lang w:eastAsia="es-ES"/>
        </w:rPr>
        <w:t>do</w:t>
      </w:r>
      <w:r w:rsidRPr="00C1551D">
        <w:rPr>
          <w:rFonts w:ascii="Century Gothic" w:eastAsia="Times New Roman" w:hAnsi="Century Gothic" w:cstheme="minorHAnsi"/>
          <w:bCs/>
          <w:lang w:eastAsia="es-ES"/>
        </w:rPr>
        <w:t xml:space="preserve"> a atmósferas explosiva</w:t>
      </w:r>
      <w:r w:rsidRPr="00827FF5">
        <w:rPr>
          <w:rFonts w:ascii="Century Gothic" w:eastAsia="Times New Roman" w:hAnsi="Century Gothic" w:cstheme="minorHAnsi"/>
          <w:bCs/>
          <w:lang w:eastAsia="es-ES"/>
        </w:rPr>
        <w:t xml:space="preserve"> </w:t>
      </w:r>
      <w:r>
        <w:rPr>
          <w:rFonts w:ascii="Century Gothic" w:eastAsia="Times New Roman" w:hAnsi="Century Gothic" w:cstheme="minorHAnsi"/>
          <w:bCs/>
          <w:lang w:eastAsia="es-ES"/>
        </w:rPr>
        <w:t>(</w:t>
      </w:r>
      <w:r w:rsidRPr="00827FF5">
        <w:rPr>
          <w:rFonts w:ascii="Century Gothic" w:eastAsia="Times New Roman" w:hAnsi="Century Gothic" w:cstheme="minorHAnsi"/>
          <w:bCs/>
          <w:lang w:eastAsia="es-ES"/>
        </w:rPr>
        <w:t>ATEX</w:t>
      </w:r>
      <w:r>
        <w:rPr>
          <w:rFonts w:ascii="Century Gothic" w:eastAsia="Times New Roman" w:hAnsi="Century Gothic" w:cstheme="minorHAnsi"/>
          <w:bCs/>
          <w:lang w:eastAsia="es-ES"/>
        </w:rPr>
        <w:t>)</w:t>
      </w:r>
      <w:r w:rsidRPr="00827FF5">
        <w:rPr>
          <w:rFonts w:ascii="Century Gothic" w:eastAsia="Times New Roman" w:hAnsi="Century Gothic" w:cstheme="minorHAnsi"/>
          <w:bCs/>
          <w:lang w:eastAsia="es-ES"/>
        </w:rPr>
        <w:t>, específico para trabajar en atmósferas explosivas. La comunicación debe ser debidamente testada antes del inicio del procedimiento.</w:t>
      </w:r>
    </w:p>
    <w:p w14:paraId="2BD919BC"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 xml:space="preserve">La conexión buque-camión se hará mediante mangueras provistas de bridas aislantes, garantizando que no se puedan producir chispas ni arco debido a la diferencia de potencial eléctrico. En caso de no disponer de ellas, el camión deberá igualar su potencial eléctrico con el buque, mediante una conexión segura, antes de iniciar las operaciones. Las mangueras no podrán </w:t>
      </w:r>
      <w:r w:rsidRPr="00827FF5">
        <w:rPr>
          <w:rFonts w:ascii="Century Gothic" w:eastAsia="Times New Roman" w:hAnsi="Century Gothic" w:cstheme="minorHAnsi"/>
          <w:bCs/>
          <w:lang w:eastAsia="es-ES"/>
        </w:rPr>
        <w:lastRenderedPageBreak/>
        <w:t xml:space="preserve">quedar mordidas ni pisadas por ningún objeto, deben ser tratadas cuidadosamente, evitando retorcer el cuerpo de las mismas y el contacto con superficies calientes. Debe proporcionarse protección en cualquier punto en que se pueda producir desgaste por fricción o roce, y éstas deben tener una longitud suficiente para seguir la corrida del buque. Es necesario verificar que la disposición de la manguera es tal que ésta no se curve más allá de su radio mínimo de curvatura permitido. Además, se vigilará su correcto estado periódicamente con el fin de detectar cualquier avería o rotura de las mismas. </w:t>
      </w:r>
    </w:p>
    <w:p w14:paraId="42BD0BDA"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Una vez que el vehículo está en la zona de descarga, debe calzarse.</w:t>
      </w:r>
    </w:p>
    <w:p w14:paraId="697C79C4"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Comprobar todas las válvulas antes del inicio de la operación: válvula de entrada al depósito, válvula de entrada al vaporizador y válvulas de purga.</w:t>
      </w:r>
    </w:p>
    <w:p w14:paraId="675850A8"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Ambas partes (suministrador y buque) deben conocer el plan secuencial de llenado del buque y deben acordar:</w:t>
      </w:r>
    </w:p>
    <w:p w14:paraId="421B31EB" w14:textId="77777777" w:rsidR="001C5F3C" w:rsidRDefault="001C5F3C" w:rsidP="006965D8">
      <w:pPr>
        <w:pStyle w:val="Prrafodelista"/>
        <w:numPr>
          <w:ilvl w:val="1"/>
          <w:numId w:val="32"/>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Régimen máximo de bombeo, aunque siempre se comenzará y finalizará el bombeo al régimen mínimo. Previamente al aumento de la velocidad de transferencia se llevará a cabo una inspección del sistema de bunkering del buque receptor, incluyendo el colector y las mangueras de carga, para asegurar que no hay fugas de líquido o vapor.</w:t>
      </w:r>
    </w:p>
    <w:p w14:paraId="2856EC00" w14:textId="77777777" w:rsidR="001C5F3C" w:rsidRDefault="001C5F3C" w:rsidP="006965D8">
      <w:pPr>
        <w:pStyle w:val="Prrafodelista"/>
        <w:numPr>
          <w:ilvl w:val="1"/>
          <w:numId w:val="32"/>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Presión de suministro.</w:t>
      </w:r>
    </w:p>
    <w:p w14:paraId="29A8777F" w14:textId="77777777" w:rsidR="001C5F3C" w:rsidRPr="00827FF5" w:rsidRDefault="001C5F3C" w:rsidP="006965D8">
      <w:pPr>
        <w:pStyle w:val="Prrafodelista"/>
        <w:numPr>
          <w:ilvl w:val="1"/>
          <w:numId w:val="32"/>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El procedimiento de parada de emergencia será establecido previamente al inicio del suministro de combustible.</w:t>
      </w:r>
    </w:p>
    <w:p w14:paraId="3EFCFF28"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E67F05">
        <w:t xml:space="preserve"> </w:t>
      </w:r>
      <w:r w:rsidRPr="00E67F05">
        <w:rPr>
          <w:rFonts w:ascii="Century Gothic" w:eastAsia="Times New Roman" w:hAnsi="Century Gothic" w:cstheme="minorHAnsi"/>
          <w:bCs/>
          <w:lang w:eastAsia="es-ES"/>
        </w:rPr>
        <w:t>La empresa deberá disponer de medios y prácticas adecuadas para realizar el barrido e inertización del sistema, garantizando que no se produzcan emisiones de gas natural a la atmósfera.</w:t>
      </w:r>
      <w:r>
        <w:rPr>
          <w:rFonts w:ascii="Century Gothic" w:eastAsia="Times New Roman" w:hAnsi="Century Gothic" w:cstheme="minorHAnsi"/>
          <w:bCs/>
          <w:lang w:eastAsia="es-ES"/>
        </w:rPr>
        <w:t xml:space="preserve"> </w:t>
      </w:r>
      <w:r w:rsidRPr="00827FF5">
        <w:rPr>
          <w:rFonts w:ascii="Century Gothic" w:eastAsia="Times New Roman" w:hAnsi="Century Gothic" w:cstheme="minorHAnsi"/>
          <w:bCs/>
          <w:lang w:eastAsia="es-ES"/>
        </w:rPr>
        <w:t>Terminada la operación, comprobar que todas las válvulas de la cisterna se han cerrado y colocar los tapones en los racords de salida.</w:t>
      </w:r>
    </w:p>
    <w:p w14:paraId="0AD567F8"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Cuando finalice el suministro, el camión cisterna abandonará la zona de servicio del puerto.</w:t>
      </w:r>
    </w:p>
    <w:p w14:paraId="38023EAE" w14:textId="77777777" w:rsidR="001C5F3C" w:rsidRDefault="001C5F3C" w:rsidP="006965D8">
      <w:pPr>
        <w:pStyle w:val="Prrafodelista"/>
        <w:numPr>
          <w:ilvl w:val="0"/>
          <w:numId w:val="28"/>
        </w:numPr>
        <w:spacing w:after="0" w:line="276" w:lineRule="auto"/>
        <w:jc w:val="both"/>
        <w:rPr>
          <w:rFonts w:ascii="Century Gothic" w:eastAsia="Times New Roman" w:hAnsi="Century Gothic" w:cstheme="minorHAnsi"/>
          <w:bCs/>
          <w:lang w:eastAsia="es-ES"/>
        </w:rPr>
      </w:pPr>
      <w:r w:rsidRPr="00827FF5">
        <w:rPr>
          <w:rFonts w:ascii="Century Gothic" w:eastAsia="Times New Roman" w:hAnsi="Century Gothic" w:cstheme="minorHAnsi"/>
          <w:bCs/>
          <w:lang w:eastAsia="es-ES"/>
        </w:rPr>
        <w:t>Cualquier emergencia debe ser comunicada a</w:t>
      </w:r>
      <w:r>
        <w:rPr>
          <w:rFonts w:ascii="Century Gothic" w:eastAsia="Times New Roman" w:hAnsi="Century Gothic" w:cstheme="minorHAnsi"/>
          <w:bCs/>
          <w:lang w:eastAsia="es-ES"/>
        </w:rPr>
        <w:t xml:space="preserve">l </w:t>
      </w:r>
      <w:r w:rsidRPr="00003F4F">
        <w:rPr>
          <w:rFonts w:ascii="Century Gothic" w:eastAsia="Times New Roman" w:hAnsi="Century Gothic" w:cstheme="minorHAnsi"/>
          <w:bCs/>
          <w:color w:val="FF0000"/>
          <w:lang w:eastAsia="es-ES"/>
        </w:rPr>
        <w:t xml:space="preserve">órgano responsable de la respuesta ante emergencias </w:t>
      </w:r>
      <w:r>
        <w:rPr>
          <w:rFonts w:ascii="Century Gothic" w:eastAsia="Times New Roman" w:hAnsi="Century Gothic" w:cstheme="minorHAnsi"/>
          <w:bCs/>
          <w:lang w:eastAsia="es-ES"/>
        </w:rPr>
        <w:t xml:space="preserve">de </w:t>
      </w:r>
      <w:r w:rsidRPr="00827FF5">
        <w:rPr>
          <w:rFonts w:ascii="Century Gothic" w:eastAsia="Times New Roman" w:hAnsi="Century Gothic" w:cstheme="minorHAnsi"/>
          <w:bCs/>
          <w:lang w:eastAsia="es-ES"/>
        </w:rPr>
        <w:t>la Autoridad Portuaria</w:t>
      </w:r>
      <w:r>
        <w:rPr>
          <w:rFonts w:ascii="Century Gothic" w:eastAsia="Times New Roman" w:hAnsi="Century Gothic" w:cstheme="minorHAnsi"/>
          <w:bCs/>
          <w:lang w:eastAsia="es-ES"/>
        </w:rPr>
        <w:t>.</w:t>
      </w:r>
    </w:p>
    <w:p w14:paraId="492B6BC8" w14:textId="77777777" w:rsidR="001C5F3C" w:rsidRDefault="001C5F3C" w:rsidP="001C5F3C">
      <w:pPr>
        <w:spacing w:after="0" w:line="276" w:lineRule="auto"/>
        <w:ind w:left="360"/>
        <w:jc w:val="both"/>
        <w:rPr>
          <w:rFonts w:ascii="Century Gothic" w:eastAsia="Times New Roman" w:hAnsi="Century Gothic" w:cstheme="minorHAnsi"/>
          <w:bCs/>
          <w:lang w:eastAsia="es-ES"/>
        </w:rPr>
      </w:pPr>
    </w:p>
    <w:p w14:paraId="21D2B7F1" w14:textId="77777777" w:rsidR="001C5F3C" w:rsidRPr="009F62D5" w:rsidRDefault="001C5F3C" w:rsidP="006965D8">
      <w:pPr>
        <w:pStyle w:val="Prrafodelista"/>
        <w:numPr>
          <w:ilvl w:val="0"/>
          <w:numId w:val="69"/>
        </w:numPr>
        <w:spacing w:line="278" w:lineRule="auto"/>
        <w:jc w:val="both"/>
        <w:rPr>
          <w:rFonts w:ascii="Century Gothic" w:hAnsi="Century Gothic"/>
          <w:b/>
          <w:bCs/>
        </w:rPr>
      </w:pPr>
      <w:r w:rsidRPr="009F62D5">
        <w:rPr>
          <w:rFonts w:ascii="Century Gothic" w:hAnsi="Century Gothic"/>
          <w:b/>
          <w:bCs/>
        </w:rPr>
        <w:t>Medios humanos y materiales</w:t>
      </w:r>
    </w:p>
    <w:p w14:paraId="2BE75BB0" w14:textId="77777777" w:rsidR="001C5F3C" w:rsidRDefault="001C5F3C" w:rsidP="001C5F3C">
      <w:pPr>
        <w:spacing w:after="0" w:line="276" w:lineRule="auto"/>
        <w:jc w:val="both"/>
        <w:rPr>
          <w:rFonts w:ascii="Century Gothic" w:eastAsia="Times New Roman" w:hAnsi="Century Gothic" w:cstheme="minorHAnsi"/>
          <w:bCs/>
          <w:lang w:eastAsia="es-ES"/>
        </w:rPr>
      </w:pPr>
      <w:r w:rsidRPr="003E7D51">
        <w:rPr>
          <w:rFonts w:ascii="Century Gothic" w:eastAsia="Times New Roman" w:hAnsi="Century Gothic" w:cstheme="minorHAnsi"/>
          <w:bCs/>
          <w:lang w:eastAsia="es-ES"/>
        </w:rPr>
        <w:t>El prestador del servicio contará con los medios materiales adecuados para poder prestar el servicio de manera eficiente, segura y conforme a la normativa vigente específica que le resul</w:t>
      </w:r>
      <w:r>
        <w:rPr>
          <w:rFonts w:ascii="Century Gothic" w:eastAsia="Times New Roman" w:hAnsi="Century Gothic" w:cstheme="minorHAnsi"/>
          <w:bCs/>
          <w:lang w:eastAsia="es-ES"/>
        </w:rPr>
        <w:t xml:space="preserve">te </w:t>
      </w:r>
      <w:r w:rsidRPr="003E7D51">
        <w:rPr>
          <w:rFonts w:ascii="Century Gothic" w:eastAsia="Times New Roman" w:hAnsi="Century Gothic" w:cstheme="minorHAnsi"/>
          <w:bCs/>
          <w:lang w:eastAsia="es-ES"/>
        </w:rPr>
        <w:t>de aplicación.</w:t>
      </w:r>
    </w:p>
    <w:p w14:paraId="65B53F2F" w14:textId="77777777" w:rsidR="001C5F3C" w:rsidRDefault="001C5F3C" w:rsidP="001C5F3C">
      <w:pPr>
        <w:spacing w:after="0" w:line="276" w:lineRule="auto"/>
        <w:jc w:val="both"/>
        <w:rPr>
          <w:rFonts w:ascii="Century Gothic" w:eastAsia="Times New Roman" w:hAnsi="Century Gothic" w:cstheme="minorHAnsi"/>
          <w:bCs/>
          <w:lang w:eastAsia="es-ES"/>
        </w:rPr>
      </w:pPr>
    </w:p>
    <w:p w14:paraId="7545DC84" w14:textId="62EBF979" w:rsidR="001C5F3C" w:rsidRPr="00F27411" w:rsidRDefault="001C5F3C" w:rsidP="006965D8">
      <w:pPr>
        <w:pStyle w:val="Prrafodelista"/>
        <w:numPr>
          <w:ilvl w:val="1"/>
          <w:numId w:val="10"/>
        </w:numPr>
        <w:spacing w:after="0" w:line="276" w:lineRule="auto"/>
        <w:jc w:val="both"/>
        <w:rPr>
          <w:rFonts w:ascii="Century Gothic" w:eastAsia="Times New Roman" w:hAnsi="Century Gothic" w:cstheme="minorHAnsi"/>
          <w:b/>
          <w:lang w:eastAsia="es-ES"/>
        </w:rPr>
      </w:pPr>
      <w:r w:rsidRPr="00F27411">
        <w:rPr>
          <w:rFonts w:ascii="Century Gothic" w:eastAsia="Times New Roman" w:hAnsi="Century Gothic" w:cstheme="minorHAnsi"/>
          <w:b/>
          <w:lang w:eastAsia="es-ES"/>
        </w:rPr>
        <w:t>Medios humanos y su cualificación</w:t>
      </w:r>
    </w:p>
    <w:p w14:paraId="1429AA1E" w14:textId="77777777" w:rsidR="001C5F3C" w:rsidRPr="009F62D5" w:rsidRDefault="001C5F3C" w:rsidP="001C5F3C">
      <w:pPr>
        <w:pStyle w:val="Prrafodelista"/>
        <w:spacing w:after="0" w:line="276" w:lineRule="auto"/>
        <w:ind w:left="874"/>
        <w:jc w:val="both"/>
        <w:rPr>
          <w:rFonts w:ascii="Century Gothic" w:eastAsia="Times New Roman" w:hAnsi="Century Gothic" w:cstheme="minorHAnsi"/>
          <w:b/>
          <w:lang w:eastAsia="es-ES"/>
        </w:rPr>
      </w:pPr>
    </w:p>
    <w:p w14:paraId="1D70059C" w14:textId="77777777" w:rsidR="001C5F3C" w:rsidRPr="00F3066D"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 xml:space="preserve">Los medios de suministro de combustible deberán contar con el personal necesario para garantizar la adecuada prestación del servicio en todo momento debiendo cumplir todas las normas establecidas por la legislación del sector. </w:t>
      </w:r>
    </w:p>
    <w:p w14:paraId="6D93FACD" w14:textId="77777777" w:rsidR="001C5F3C" w:rsidRPr="00F3066D"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lastRenderedPageBreak/>
        <w:t>El conductor del camión cisterna deberá estar en posesión</w:t>
      </w:r>
      <w:r w:rsidRPr="003F21E4">
        <w:rPr>
          <w:rFonts w:ascii="Century Gothic" w:eastAsia="Times New Roman" w:hAnsi="Century Gothic" w:cstheme="minorHAnsi"/>
          <w:bCs/>
          <w:lang w:eastAsia="es-ES"/>
        </w:rPr>
        <w:t xml:space="preserve"> de la a</w:t>
      </w:r>
      <w:r w:rsidRPr="00715293">
        <w:rPr>
          <w:rFonts w:ascii="Century Gothic" w:eastAsia="Times New Roman" w:hAnsi="Century Gothic" w:cstheme="minorHAnsi"/>
          <w:bCs/>
          <w:lang w:eastAsia="es-ES"/>
        </w:rPr>
        <w:t>utorización Especial para el Transporte por Carretera de Mercancías Peligrosas (</w:t>
      </w:r>
      <w:r w:rsidRPr="003F21E4">
        <w:rPr>
          <w:rFonts w:ascii="Century Gothic" w:eastAsia="Times New Roman" w:hAnsi="Century Gothic" w:cstheme="minorHAnsi"/>
          <w:bCs/>
          <w:lang w:eastAsia="es-ES"/>
        </w:rPr>
        <w:t>ADR</w:t>
      </w:r>
      <w:r w:rsidRPr="00715293">
        <w:rPr>
          <w:rFonts w:ascii="Century Gothic" w:eastAsia="Times New Roman" w:hAnsi="Century Gothic" w:cstheme="minorHAnsi"/>
          <w:bCs/>
          <w:lang w:eastAsia="es-ES"/>
        </w:rPr>
        <w:t>)</w:t>
      </w:r>
      <w:r>
        <w:rPr>
          <w:rFonts w:ascii="Century Gothic" w:eastAsia="Times New Roman" w:hAnsi="Century Gothic" w:cstheme="minorHAnsi"/>
          <w:bCs/>
          <w:lang w:eastAsia="es-ES"/>
        </w:rPr>
        <w:t xml:space="preserve"> Cisternas.</w:t>
      </w:r>
    </w:p>
    <w:p w14:paraId="61096F1A" w14:textId="77777777" w:rsidR="001C5F3C" w:rsidRPr="00F3066D"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Al frente del personal, y para todas las relaciones con la Autoridad Portuaria, el prestador deberá contar con un responsable de explotación especializado en las actividades que comprende el servicio.</w:t>
      </w:r>
    </w:p>
    <w:p w14:paraId="41F81030" w14:textId="77777777" w:rsidR="001C5F3C"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El personal estará vinculado al prestador a través de las distintas modalidades contractuales vigentes, sin que exista relación laboral alguna con la Autoridad Portuaria.</w:t>
      </w:r>
    </w:p>
    <w:p w14:paraId="6491CFD0" w14:textId="77777777" w:rsidR="001C5F3C" w:rsidRPr="00F3066D" w:rsidRDefault="001C5F3C" w:rsidP="001C5F3C">
      <w:pPr>
        <w:spacing w:after="0" w:line="276" w:lineRule="auto"/>
        <w:jc w:val="both"/>
        <w:rPr>
          <w:rFonts w:ascii="Century Gothic" w:eastAsia="Times New Roman" w:hAnsi="Century Gothic" w:cstheme="minorHAnsi"/>
          <w:bCs/>
          <w:lang w:eastAsia="es-ES"/>
        </w:rPr>
      </w:pPr>
    </w:p>
    <w:p w14:paraId="48DE3840" w14:textId="77777777" w:rsidR="001C5F3C" w:rsidRPr="009F62D5" w:rsidRDefault="001C5F3C" w:rsidP="006965D8">
      <w:pPr>
        <w:pStyle w:val="Prrafodelista"/>
        <w:numPr>
          <w:ilvl w:val="2"/>
          <w:numId w:val="10"/>
        </w:numPr>
        <w:spacing w:after="0" w:line="276" w:lineRule="auto"/>
        <w:jc w:val="both"/>
        <w:rPr>
          <w:rFonts w:ascii="Century Gothic" w:eastAsia="Times New Roman" w:hAnsi="Century Gothic" w:cstheme="minorHAnsi"/>
          <w:b/>
          <w:lang w:eastAsia="es-ES"/>
        </w:rPr>
      </w:pPr>
      <w:r w:rsidRPr="009F62D5">
        <w:rPr>
          <w:rFonts w:ascii="Century Gothic" w:eastAsia="Times New Roman" w:hAnsi="Century Gothic" w:cstheme="minorHAnsi"/>
          <w:b/>
          <w:lang w:eastAsia="es-ES"/>
        </w:rPr>
        <w:t>Responsable de explotación</w:t>
      </w:r>
    </w:p>
    <w:p w14:paraId="1020D95A" w14:textId="77777777" w:rsidR="001C5F3C" w:rsidRPr="009F62D5" w:rsidRDefault="001C5F3C" w:rsidP="001C5F3C">
      <w:pPr>
        <w:spacing w:after="0" w:line="276" w:lineRule="auto"/>
        <w:jc w:val="both"/>
        <w:rPr>
          <w:rFonts w:ascii="Century Gothic" w:eastAsia="Times New Roman" w:hAnsi="Century Gothic" w:cstheme="minorHAnsi"/>
          <w:b/>
          <w:lang w:eastAsia="es-ES"/>
        </w:rPr>
      </w:pPr>
      <w:r w:rsidRPr="009F62D5">
        <w:rPr>
          <w:rFonts w:ascii="Century Gothic" w:eastAsia="Times New Roman" w:hAnsi="Century Gothic" w:cstheme="minorHAnsi"/>
          <w:bCs/>
          <w:lang w:eastAsia="es-ES"/>
        </w:rPr>
        <w:t>Será el responsable de las relaciones con la Autoridad Portuaria en todos los aspectos relativos a la autorización.</w:t>
      </w:r>
    </w:p>
    <w:p w14:paraId="573F0CF6" w14:textId="77777777" w:rsidR="001C5F3C" w:rsidRPr="00F3066D"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Será el responsable de explotación del conjunto de la actividad</w:t>
      </w:r>
      <w:r>
        <w:rPr>
          <w:rFonts w:ascii="Century Gothic" w:eastAsia="Times New Roman" w:hAnsi="Century Gothic" w:cstheme="minorHAnsi"/>
          <w:bCs/>
          <w:lang w:eastAsia="es-ES"/>
        </w:rPr>
        <w:t xml:space="preserve"> asociada a la autorización de servicio comercial</w:t>
      </w:r>
      <w:r w:rsidRPr="00F3066D">
        <w:rPr>
          <w:rFonts w:ascii="Century Gothic" w:eastAsia="Times New Roman" w:hAnsi="Century Gothic" w:cstheme="minorHAnsi"/>
          <w:bCs/>
          <w:lang w:eastAsia="es-ES"/>
        </w:rPr>
        <w:t xml:space="preserve">. </w:t>
      </w:r>
    </w:p>
    <w:p w14:paraId="28E12D35" w14:textId="77777777" w:rsidR="001C5F3C"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Esta persona deberá disponer de contrastada experiencia en gestión de operaciones de suministros de combustibles a buques y de todas las actividades que comprende este servicio.</w:t>
      </w:r>
    </w:p>
    <w:p w14:paraId="61901D0C" w14:textId="77777777" w:rsidR="001C5F3C" w:rsidRDefault="001C5F3C" w:rsidP="001C5F3C">
      <w:pPr>
        <w:spacing w:after="0" w:line="276" w:lineRule="auto"/>
        <w:jc w:val="both"/>
        <w:rPr>
          <w:rFonts w:ascii="Century Gothic" w:eastAsia="Times New Roman" w:hAnsi="Century Gothic" w:cstheme="minorHAnsi"/>
          <w:bCs/>
          <w:lang w:eastAsia="es-ES"/>
        </w:rPr>
      </w:pPr>
    </w:p>
    <w:p w14:paraId="70B74A8B" w14:textId="77777777" w:rsidR="001C5F3C" w:rsidRDefault="001C5F3C" w:rsidP="006965D8">
      <w:pPr>
        <w:pStyle w:val="Prrafodelista"/>
        <w:numPr>
          <w:ilvl w:val="2"/>
          <w:numId w:val="10"/>
        </w:numPr>
        <w:spacing w:after="0" w:line="276" w:lineRule="auto"/>
        <w:jc w:val="both"/>
        <w:rPr>
          <w:rFonts w:ascii="Century Gothic" w:eastAsia="Times New Roman" w:hAnsi="Century Gothic" w:cstheme="minorHAnsi"/>
          <w:b/>
          <w:lang w:eastAsia="es-ES"/>
        </w:rPr>
      </w:pPr>
      <w:r w:rsidRPr="00F3066D">
        <w:rPr>
          <w:rFonts w:ascii="Century Gothic" w:eastAsia="Times New Roman" w:hAnsi="Century Gothic" w:cstheme="minorHAnsi"/>
          <w:b/>
          <w:lang w:eastAsia="es-ES"/>
        </w:rPr>
        <w:t>Consejero de Seguridad ADR</w:t>
      </w:r>
    </w:p>
    <w:p w14:paraId="42B3B9FF" w14:textId="77777777" w:rsidR="001C5F3C" w:rsidRPr="009F62D5" w:rsidRDefault="001C5F3C" w:rsidP="001C5F3C">
      <w:pPr>
        <w:spacing w:after="0" w:line="276" w:lineRule="auto"/>
        <w:jc w:val="both"/>
        <w:rPr>
          <w:rFonts w:ascii="Century Gothic" w:eastAsia="Times New Roman" w:hAnsi="Century Gothic" w:cstheme="minorHAnsi"/>
          <w:b/>
          <w:lang w:eastAsia="es-ES"/>
        </w:rPr>
      </w:pPr>
      <w:r w:rsidRPr="00F3066D">
        <w:rPr>
          <w:rFonts w:ascii="Century Gothic" w:eastAsia="Times New Roman" w:hAnsi="Century Gothic" w:cstheme="minorHAnsi"/>
          <w:bCs/>
          <w:lang w:eastAsia="es-ES"/>
        </w:rPr>
        <w:t xml:space="preserve">Deberá tener la condición de “consejero de seguridad” </w:t>
      </w:r>
      <w:r>
        <w:rPr>
          <w:rFonts w:ascii="Century Gothic" w:eastAsia="Times New Roman" w:hAnsi="Century Gothic" w:cstheme="minorHAnsi"/>
          <w:bCs/>
          <w:lang w:eastAsia="es-ES"/>
        </w:rPr>
        <w:t xml:space="preserve">designado por la </w:t>
      </w:r>
      <w:r w:rsidRPr="00F3066D">
        <w:rPr>
          <w:rFonts w:ascii="Century Gothic" w:eastAsia="Times New Roman" w:hAnsi="Century Gothic" w:cstheme="minorHAnsi"/>
          <w:bCs/>
          <w:lang w:eastAsia="es-ES"/>
        </w:rPr>
        <w:t xml:space="preserve">compañía </w:t>
      </w:r>
      <w:r>
        <w:rPr>
          <w:rFonts w:ascii="Century Gothic" w:eastAsia="Times New Roman" w:hAnsi="Century Gothic" w:cstheme="minorHAnsi"/>
          <w:bCs/>
          <w:lang w:eastAsia="es-ES"/>
        </w:rPr>
        <w:t>suministradora</w:t>
      </w:r>
      <w:r w:rsidRPr="00F3066D">
        <w:rPr>
          <w:rFonts w:ascii="Century Gothic" w:eastAsia="Times New Roman" w:hAnsi="Century Gothic" w:cstheme="minorHAnsi"/>
          <w:bCs/>
          <w:lang w:eastAsia="es-ES"/>
        </w:rPr>
        <w:t xml:space="preserve"> en los términos, responsabilidades y formación recogidos en el R</w:t>
      </w:r>
      <w:r>
        <w:rPr>
          <w:rFonts w:ascii="Century Gothic" w:eastAsia="Times New Roman" w:hAnsi="Century Gothic" w:cstheme="minorHAnsi"/>
          <w:bCs/>
          <w:lang w:eastAsia="es-ES"/>
        </w:rPr>
        <w:t>eal Decreto</w:t>
      </w:r>
      <w:r w:rsidRPr="00F3066D">
        <w:rPr>
          <w:rFonts w:ascii="Century Gothic" w:eastAsia="Times New Roman" w:hAnsi="Century Gothic" w:cstheme="minorHAnsi"/>
          <w:bCs/>
          <w:lang w:eastAsia="es-ES"/>
        </w:rPr>
        <w:t xml:space="preserve"> 1566/1999, sobre </w:t>
      </w:r>
      <w:r>
        <w:rPr>
          <w:rFonts w:ascii="Century Gothic" w:eastAsia="Times New Roman" w:hAnsi="Century Gothic" w:cstheme="minorHAnsi"/>
          <w:bCs/>
          <w:lang w:eastAsia="es-ES"/>
        </w:rPr>
        <w:t>C</w:t>
      </w:r>
      <w:r w:rsidRPr="00F3066D">
        <w:rPr>
          <w:rFonts w:ascii="Century Gothic" w:eastAsia="Times New Roman" w:hAnsi="Century Gothic" w:cstheme="minorHAnsi"/>
          <w:bCs/>
          <w:lang w:eastAsia="es-ES"/>
        </w:rPr>
        <w:t xml:space="preserve">onsejeros de Seguridad para el transporte de mercancías peligrosas. </w:t>
      </w:r>
      <w:r>
        <w:rPr>
          <w:rFonts w:ascii="Century Gothic" w:eastAsia="Times New Roman" w:hAnsi="Century Gothic" w:cstheme="minorHAnsi"/>
          <w:bCs/>
          <w:lang w:eastAsia="es-ES"/>
        </w:rPr>
        <w:t xml:space="preserve">Para ello, la empresa autorizada deberá previamente haber realizado la designación oficial del consejero de acuerdo con el procedimiento acordado en la norma. </w:t>
      </w:r>
    </w:p>
    <w:p w14:paraId="03F33D16" w14:textId="77777777" w:rsidR="001C5F3C"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 xml:space="preserve">Siempre que tenga la formación </w:t>
      </w:r>
      <w:r>
        <w:rPr>
          <w:rFonts w:ascii="Century Gothic" w:eastAsia="Times New Roman" w:hAnsi="Century Gothic" w:cstheme="minorHAnsi"/>
          <w:bCs/>
          <w:lang w:eastAsia="es-ES"/>
        </w:rPr>
        <w:t xml:space="preserve">y designación </w:t>
      </w:r>
      <w:r w:rsidRPr="00F3066D">
        <w:rPr>
          <w:rFonts w:ascii="Century Gothic" w:eastAsia="Times New Roman" w:hAnsi="Century Gothic" w:cstheme="minorHAnsi"/>
          <w:bCs/>
          <w:lang w:eastAsia="es-ES"/>
        </w:rPr>
        <w:t>indicada en el párrafo anterior, el responsable de explotación podrá desempeñar también la función de consejero de seguridad ADR.</w:t>
      </w:r>
    </w:p>
    <w:p w14:paraId="257B397B" w14:textId="77777777" w:rsidR="001C5F3C" w:rsidRDefault="001C5F3C" w:rsidP="001C5F3C">
      <w:pPr>
        <w:spacing w:after="0" w:line="276" w:lineRule="auto"/>
        <w:jc w:val="both"/>
        <w:rPr>
          <w:rFonts w:ascii="Century Gothic" w:eastAsia="Times New Roman" w:hAnsi="Century Gothic" w:cstheme="minorHAnsi"/>
          <w:bCs/>
          <w:lang w:eastAsia="es-ES"/>
        </w:rPr>
      </w:pPr>
    </w:p>
    <w:p w14:paraId="0358D7EA" w14:textId="77777777" w:rsidR="001C5F3C" w:rsidRDefault="001C5F3C" w:rsidP="006965D8">
      <w:pPr>
        <w:pStyle w:val="Prrafodelista"/>
        <w:numPr>
          <w:ilvl w:val="2"/>
          <w:numId w:val="10"/>
        </w:numPr>
        <w:spacing w:after="0" w:line="276" w:lineRule="auto"/>
        <w:jc w:val="both"/>
        <w:rPr>
          <w:rFonts w:ascii="Century Gothic" w:eastAsia="Times New Roman" w:hAnsi="Century Gothic" w:cstheme="minorHAnsi"/>
          <w:b/>
          <w:lang w:eastAsia="es-ES"/>
        </w:rPr>
      </w:pPr>
      <w:r w:rsidRPr="00F3066D">
        <w:rPr>
          <w:rFonts w:ascii="Century Gothic" w:eastAsia="Times New Roman" w:hAnsi="Century Gothic" w:cstheme="minorHAnsi"/>
          <w:b/>
          <w:lang w:eastAsia="es-ES"/>
        </w:rPr>
        <w:t>Responsable de la coordinación y la seguridad de la operación de suministro “in situ”</w:t>
      </w:r>
    </w:p>
    <w:p w14:paraId="025FD047" w14:textId="77777777" w:rsidR="001C5F3C" w:rsidRPr="009F62D5" w:rsidRDefault="001C5F3C" w:rsidP="001C5F3C">
      <w:pPr>
        <w:spacing w:after="0" w:line="276" w:lineRule="auto"/>
        <w:jc w:val="both"/>
        <w:rPr>
          <w:rFonts w:ascii="Century Gothic" w:eastAsia="Times New Roman" w:hAnsi="Century Gothic" w:cstheme="minorHAnsi"/>
          <w:b/>
          <w:lang w:eastAsia="es-ES"/>
        </w:rPr>
      </w:pPr>
      <w:r w:rsidRPr="00F3066D">
        <w:rPr>
          <w:rFonts w:ascii="Century Gothic" w:eastAsia="Times New Roman" w:hAnsi="Century Gothic" w:cstheme="minorHAnsi"/>
          <w:bCs/>
          <w:lang w:eastAsia="es-ES"/>
        </w:rPr>
        <w:t>Durante el suministro, ejercerá las funciones de coordinador de la comunicación entre suministrado, terminal y suministrador, y garante de la calidad en la elaboración de</w:t>
      </w:r>
      <w:r>
        <w:rPr>
          <w:rFonts w:ascii="Century Gothic" w:eastAsia="Times New Roman" w:hAnsi="Century Gothic" w:cstheme="minorHAnsi"/>
          <w:bCs/>
          <w:lang w:eastAsia="es-ES"/>
        </w:rPr>
        <w:t xml:space="preserve"> </w:t>
      </w:r>
      <w:r w:rsidRPr="00F3066D">
        <w:rPr>
          <w:rFonts w:ascii="Century Gothic" w:eastAsia="Times New Roman" w:hAnsi="Century Gothic" w:cstheme="minorHAnsi"/>
          <w:bCs/>
          <w:lang w:eastAsia="es-ES"/>
        </w:rPr>
        <w:t>l</w:t>
      </w:r>
      <w:r>
        <w:rPr>
          <w:rFonts w:ascii="Century Gothic" w:eastAsia="Times New Roman" w:hAnsi="Century Gothic" w:cstheme="minorHAnsi"/>
          <w:bCs/>
          <w:lang w:eastAsia="es-ES"/>
        </w:rPr>
        <w:t>a</w:t>
      </w:r>
      <w:r w:rsidRPr="00F3066D">
        <w:rPr>
          <w:rFonts w:ascii="Century Gothic" w:eastAsia="Times New Roman" w:hAnsi="Century Gothic" w:cstheme="minorHAnsi"/>
          <w:bCs/>
          <w:lang w:eastAsia="es-ES"/>
        </w:rPr>
        <w:t xml:space="preserve"> </w:t>
      </w:r>
      <w:r>
        <w:rPr>
          <w:rFonts w:ascii="Century Gothic" w:eastAsia="Times New Roman" w:hAnsi="Century Gothic" w:cstheme="minorHAnsi"/>
          <w:bCs/>
          <w:lang w:eastAsia="es-ES"/>
        </w:rPr>
        <w:t>lista de seguridad</w:t>
      </w:r>
      <w:r w:rsidRPr="00F3066D">
        <w:rPr>
          <w:rFonts w:ascii="Century Gothic" w:eastAsia="Times New Roman" w:hAnsi="Century Gothic" w:cstheme="minorHAnsi"/>
          <w:bCs/>
          <w:lang w:eastAsia="es-ES"/>
        </w:rPr>
        <w:t>.</w:t>
      </w:r>
    </w:p>
    <w:p w14:paraId="30C5E3F9" w14:textId="77777777" w:rsidR="001C5F3C" w:rsidRDefault="001C5F3C" w:rsidP="001C5F3C">
      <w:pPr>
        <w:spacing w:after="0" w:line="276" w:lineRule="auto"/>
        <w:jc w:val="both"/>
        <w:rPr>
          <w:rFonts w:ascii="Century Gothic" w:eastAsia="Times New Roman" w:hAnsi="Century Gothic" w:cstheme="minorHAnsi"/>
          <w:bCs/>
          <w:lang w:eastAsia="es-ES"/>
        </w:rPr>
      </w:pPr>
      <w:r w:rsidRPr="00F3066D">
        <w:rPr>
          <w:rFonts w:ascii="Century Gothic" w:eastAsia="Times New Roman" w:hAnsi="Century Gothic" w:cstheme="minorHAnsi"/>
          <w:bCs/>
          <w:lang w:eastAsia="es-ES"/>
        </w:rPr>
        <w:t xml:space="preserve">Deberá tener una formación mínima en materia de seguridad y respuesta ante emergencias durante la operativa de trasiego de GNL, y se requerirá que cuente al menos con la titulación de “Técnicos de Plantas Satélite de GNL, Alcance Tipo C”.  Deberá entenderse de manera fluida en </w:t>
      </w:r>
      <w:r>
        <w:rPr>
          <w:rFonts w:ascii="Century Gothic" w:eastAsia="Times New Roman" w:hAnsi="Century Gothic" w:cstheme="minorHAnsi"/>
          <w:bCs/>
          <w:lang w:eastAsia="es-ES"/>
        </w:rPr>
        <w:t>el idioma acordado por las partes en la Check List.</w:t>
      </w:r>
    </w:p>
    <w:p w14:paraId="32C7996F" w14:textId="77777777" w:rsidR="001C5F3C" w:rsidRDefault="001C5F3C" w:rsidP="001C5F3C">
      <w:pPr>
        <w:spacing w:after="0" w:line="276" w:lineRule="auto"/>
        <w:jc w:val="both"/>
        <w:rPr>
          <w:rFonts w:ascii="Century Gothic" w:eastAsia="Times New Roman" w:hAnsi="Century Gothic" w:cstheme="minorHAnsi"/>
          <w:bCs/>
          <w:lang w:eastAsia="es-ES"/>
        </w:rPr>
      </w:pPr>
    </w:p>
    <w:p w14:paraId="2E55F6DD" w14:textId="77777777" w:rsidR="001C5F3C" w:rsidRDefault="001C5F3C" w:rsidP="006965D8">
      <w:pPr>
        <w:pStyle w:val="Prrafodelista"/>
        <w:numPr>
          <w:ilvl w:val="2"/>
          <w:numId w:val="10"/>
        </w:numPr>
        <w:spacing w:after="0" w:line="276" w:lineRule="auto"/>
        <w:jc w:val="both"/>
        <w:rPr>
          <w:rFonts w:ascii="Century Gothic" w:eastAsia="Times New Roman" w:hAnsi="Century Gothic" w:cstheme="minorHAnsi"/>
          <w:b/>
          <w:lang w:eastAsia="es-ES"/>
        </w:rPr>
      </w:pPr>
      <w:r w:rsidRPr="00F3066D">
        <w:rPr>
          <w:rFonts w:ascii="Century Gothic" w:eastAsia="Times New Roman" w:hAnsi="Century Gothic" w:cstheme="minorHAnsi"/>
          <w:b/>
          <w:lang w:eastAsia="es-ES"/>
        </w:rPr>
        <w:t>Conductor del vehículo cisterna</w:t>
      </w:r>
    </w:p>
    <w:p w14:paraId="32EC5753" w14:textId="77777777" w:rsidR="001C5F3C" w:rsidRPr="009F62D5" w:rsidRDefault="001C5F3C" w:rsidP="001C5F3C">
      <w:pPr>
        <w:spacing w:after="0" w:line="276" w:lineRule="auto"/>
        <w:jc w:val="both"/>
        <w:rPr>
          <w:rFonts w:ascii="Century Gothic" w:eastAsia="Times New Roman" w:hAnsi="Century Gothic" w:cstheme="minorHAnsi"/>
          <w:b/>
          <w:lang w:eastAsia="es-ES"/>
        </w:rPr>
      </w:pPr>
      <w:r w:rsidRPr="00F3066D">
        <w:rPr>
          <w:rFonts w:ascii="Century Gothic" w:eastAsia="Times New Roman" w:hAnsi="Century Gothic" w:cstheme="minorHAnsi"/>
          <w:bCs/>
          <w:lang w:eastAsia="es-ES"/>
        </w:rPr>
        <w:t xml:space="preserve">El conductor del vehículo dispondrá de permiso de circulación para la conducción de Cisternas con mercancías peligrosas, (permiso ADR Cisternas), o cualquier otro </w:t>
      </w:r>
      <w:r w:rsidRPr="00F3066D">
        <w:rPr>
          <w:rFonts w:ascii="Century Gothic" w:eastAsia="Times New Roman" w:hAnsi="Century Gothic" w:cstheme="minorHAnsi"/>
          <w:bCs/>
          <w:lang w:eastAsia="es-ES"/>
        </w:rPr>
        <w:lastRenderedPageBreak/>
        <w:t xml:space="preserve">que lo sustituya. (Real Decreto 818/2009, de 8 de mayo, por el que se aprueba el Reglamento General de Conductores- Capítulo III, Sección I, artículos 25 a 30). </w:t>
      </w:r>
    </w:p>
    <w:p w14:paraId="2FDED93B" w14:textId="77777777" w:rsidR="001C5F3C" w:rsidRDefault="001C5F3C" w:rsidP="001C5F3C">
      <w:pPr>
        <w:spacing w:after="0" w:line="276" w:lineRule="auto"/>
        <w:jc w:val="both"/>
        <w:rPr>
          <w:rFonts w:ascii="Century Gothic" w:eastAsia="Times New Roman" w:hAnsi="Century Gothic" w:cstheme="minorHAnsi"/>
          <w:bCs/>
          <w:lang w:eastAsia="es-ES"/>
        </w:rPr>
      </w:pPr>
    </w:p>
    <w:p w14:paraId="13406A41" w14:textId="77777777" w:rsidR="001C5F3C" w:rsidRDefault="001C5F3C" w:rsidP="006965D8">
      <w:pPr>
        <w:pStyle w:val="Prrafodelista"/>
        <w:numPr>
          <w:ilvl w:val="1"/>
          <w:numId w:val="10"/>
        </w:numPr>
        <w:spacing w:after="0" w:line="276" w:lineRule="auto"/>
        <w:jc w:val="both"/>
        <w:rPr>
          <w:rFonts w:ascii="Century Gothic" w:eastAsia="Times New Roman" w:hAnsi="Century Gothic" w:cstheme="minorHAnsi"/>
          <w:b/>
          <w:lang w:eastAsia="es-ES"/>
        </w:rPr>
      </w:pPr>
      <w:r w:rsidRPr="009F62D5">
        <w:rPr>
          <w:rFonts w:ascii="Century Gothic" w:eastAsia="Times New Roman" w:hAnsi="Century Gothic" w:cstheme="minorHAnsi"/>
          <w:b/>
          <w:lang w:eastAsia="es-ES"/>
        </w:rPr>
        <w:t>Medios materiales</w:t>
      </w:r>
    </w:p>
    <w:p w14:paraId="2938ED79" w14:textId="77777777" w:rsidR="001C5F3C" w:rsidRPr="009F62D5" w:rsidRDefault="001C5F3C" w:rsidP="001C5F3C">
      <w:pPr>
        <w:pStyle w:val="Prrafodelista"/>
        <w:spacing w:after="0" w:line="276" w:lineRule="auto"/>
        <w:ind w:left="874"/>
        <w:jc w:val="both"/>
        <w:rPr>
          <w:rFonts w:ascii="Century Gothic" w:eastAsia="Times New Roman" w:hAnsi="Century Gothic" w:cstheme="minorHAnsi"/>
          <w:b/>
          <w:lang w:eastAsia="es-ES"/>
        </w:rPr>
      </w:pPr>
    </w:p>
    <w:p w14:paraId="07FAF4BB" w14:textId="77777777" w:rsidR="001C5F3C" w:rsidRPr="002E5E25" w:rsidRDefault="001C5F3C" w:rsidP="001C5F3C">
      <w:p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Cisternas construidas acorde a la normativa ADR (Tabla A de mercancías peligrosas, Mercancía UN 1972) que mantendrán en vigor sus correspondientes seguros, las tarjetas de inspección técnica (ITV), y los certificados que les apliquen y tendrán las siguientes características:</w:t>
      </w:r>
    </w:p>
    <w:p w14:paraId="418B5F22"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 xml:space="preserve">Señalética y certificados: Deberán contar con un certificado de ADR en vigor, exigido en su caso, para las mercancías que transportan (UN 1972). </w:t>
      </w:r>
    </w:p>
    <w:p w14:paraId="1ACD73D8" w14:textId="77777777" w:rsidR="001C5F3C" w:rsidRPr="003F21E4" w:rsidRDefault="001C5F3C" w:rsidP="006965D8">
      <w:pPr>
        <w:pStyle w:val="Prrafodelista"/>
        <w:numPr>
          <w:ilvl w:val="0"/>
          <w:numId w:val="29"/>
        </w:numPr>
        <w:spacing w:after="0" w:line="276" w:lineRule="auto"/>
        <w:jc w:val="both"/>
        <w:rPr>
          <w:lang w:eastAsia="es-ES"/>
        </w:rPr>
      </w:pPr>
      <w:r w:rsidRPr="002E5E25">
        <w:rPr>
          <w:rFonts w:ascii="Century Gothic" w:eastAsia="Times New Roman" w:hAnsi="Century Gothic" w:cstheme="minorHAnsi"/>
          <w:bCs/>
          <w:lang w:eastAsia="es-ES"/>
        </w:rPr>
        <w:t>Dispondrán de</w:t>
      </w:r>
      <w:r>
        <w:rPr>
          <w:rFonts w:ascii="Century Gothic" w:eastAsia="Times New Roman" w:hAnsi="Century Gothic" w:cstheme="minorHAnsi"/>
          <w:bCs/>
          <w:lang w:eastAsia="es-ES"/>
        </w:rPr>
        <w:t xml:space="preserve"> dos </w:t>
      </w:r>
      <w:r w:rsidRPr="002E5E25">
        <w:rPr>
          <w:rFonts w:ascii="Century Gothic" w:eastAsia="Times New Roman" w:hAnsi="Century Gothic" w:cstheme="minorHAnsi"/>
          <w:bCs/>
          <w:lang w:eastAsia="es-ES"/>
        </w:rPr>
        <w:t>o varios extintores de incendios portátiles adaptados a las clases de inflamabilidad A, B y C con capacidad total mínima de 12 kg de polvo o equivalente de otro agente extintor. ADR, sección 8.1.4</w:t>
      </w:r>
    </w:p>
    <w:p w14:paraId="56E1ECCD"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 xml:space="preserve">Sistema de bombeo integrado, </w:t>
      </w:r>
    </w:p>
    <w:p w14:paraId="34464B51"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Mangueras de conexión antiestáticas, que cumplan con la normativa ISO 20519 y el estándar de fabricación adecuado (EN 1474, EN 12434 o BS 4089).</w:t>
      </w:r>
    </w:p>
    <w:p w14:paraId="07C429E9"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Conexiones universales con fabricación acorde a la normativa ISO 20519 y EN 1474 que permitan una compatibilidad total con cualquiera de los manifold o bridas de conexión instalados en los buques a suministrar, sistema de desconexión de emergencia y un sistema de acople que no produzca ningún derrame.</w:t>
      </w:r>
    </w:p>
    <w:p w14:paraId="0B888E10"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Sistema de inertización de líneas y purgado de restos de GNL sin emisión de combustible a la atmósfera.</w:t>
      </w:r>
    </w:p>
    <w:p w14:paraId="10BEBB0E"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Conexión de puesta a tierra para la cisterna.</w:t>
      </w:r>
      <w:r>
        <w:rPr>
          <w:rFonts w:ascii="Century Gothic" w:eastAsia="Times New Roman" w:hAnsi="Century Gothic" w:cstheme="minorHAnsi"/>
          <w:bCs/>
          <w:lang w:eastAsia="es-ES"/>
        </w:rPr>
        <w:t xml:space="preserve"> En el caso de que el muelle no disponga de conexión para puesta a tierra, se permite la conexión equipotencial con el buque.</w:t>
      </w:r>
    </w:p>
    <w:p w14:paraId="001AC741"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 xml:space="preserve">Equipos de protección individual </w:t>
      </w:r>
      <w:r>
        <w:rPr>
          <w:rFonts w:ascii="Century Gothic" w:eastAsia="Times New Roman" w:hAnsi="Century Gothic" w:cstheme="minorHAnsi"/>
          <w:bCs/>
          <w:lang w:eastAsia="es-ES"/>
        </w:rPr>
        <w:t>ignífugos y antiestáticos</w:t>
      </w:r>
      <w:r w:rsidRPr="002E5E25">
        <w:rPr>
          <w:rFonts w:ascii="Century Gothic" w:eastAsia="Times New Roman" w:hAnsi="Century Gothic" w:cstheme="minorHAnsi"/>
          <w:bCs/>
          <w:lang w:eastAsia="es-ES"/>
        </w:rPr>
        <w:t>.</w:t>
      </w:r>
    </w:p>
    <w:p w14:paraId="1E5AC0D0"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Sistema de calzos para el camión cisterna.</w:t>
      </w:r>
    </w:p>
    <w:p w14:paraId="1AA3A7E2" w14:textId="77777777" w:rsidR="001C5F3C" w:rsidRPr="002E5E25" w:rsidRDefault="001C5F3C" w:rsidP="006965D8">
      <w:pPr>
        <w:pStyle w:val="Prrafodelista"/>
        <w:numPr>
          <w:ilvl w:val="0"/>
          <w:numId w:val="29"/>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Para el acotamiento del perímetro de seguridad y señalización de la operación de suministro, se habrá de contar como mínimo con los siguientes elementos:</w:t>
      </w:r>
    </w:p>
    <w:p w14:paraId="136C536F" w14:textId="77777777" w:rsidR="001C5F3C" w:rsidRPr="002E5E25" w:rsidRDefault="001C5F3C" w:rsidP="006965D8">
      <w:pPr>
        <w:pStyle w:val="Prrafodelista"/>
        <w:numPr>
          <w:ilvl w:val="0"/>
          <w:numId w:val="30"/>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 xml:space="preserve">postes o conos de señalización, </w:t>
      </w:r>
    </w:p>
    <w:p w14:paraId="3DC983FE" w14:textId="77777777" w:rsidR="001C5F3C" w:rsidRPr="002E5E25" w:rsidRDefault="001C5F3C" w:rsidP="006965D8">
      <w:pPr>
        <w:pStyle w:val="Prrafodelista"/>
        <w:numPr>
          <w:ilvl w:val="0"/>
          <w:numId w:val="30"/>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 xml:space="preserve">cinta señalizadora de colores blanco y rojo o amarillo y negro de material auto reflectante </w:t>
      </w:r>
    </w:p>
    <w:p w14:paraId="76D989BA" w14:textId="77777777" w:rsidR="001C5F3C" w:rsidRDefault="001C5F3C" w:rsidP="006965D8">
      <w:pPr>
        <w:pStyle w:val="Prrafodelista"/>
        <w:numPr>
          <w:ilvl w:val="0"/>
          <w:numId w:val="30"/>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cartel de vehículo en descarga.</w:t>
      </w:r>
      <w:r w:rsidRPr="000C41A8">
        <w:rPr>
          <w:rFonts w:ascii="Century Gothic" w:eastAsia="Times New Roman" w:hAnsi="Century Gothic" w:cstheme="minorHAnsi"/>
          <w:bCs/>
          <w:lang w:eastAsia="es-ES"/>
        </w:rPr>
        <w:t xml:space="preserve"> </w:t>
      </w:r>
    </w:p>
    <w:p w14:paraId="12859856" w14:textId="77777777" w:rsidR="001C5F3C" w:rsidRPr="002E5E25" w:rsidRDefault="001C5F3C" w:rsidP="006965D8">
      <w:pPr>
        <w:pStyle w:val="Prrafodelista"/>
        <w:numPr>
          <w:ilvl w:val="0"/>
          <w:numId w:val="30"/>
        </w:numPr>
        <w:spacing w:after="0" w:line="276" w:lineRule="auto"/>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Opcionalmente, en función de la operativa a desarrollar, c</w:t>
      </w:r>
      <w:r w:rsidRPr="002E5E25">
        <w:rPr>
          <w:rFonts w:ascii="Century Gothic" w:eastAsia="Times New Roman" w:hAnsi="Century Gothic" w:cstheme="minorHAnsi"/>
          <w:bCs/>
          <w:lang w:eastAsia="es-ES"/>
        </w:rPr>
        <w:t>arteles de prohibición de fumar y encendido de fuego, con tamaño mínimo de DIN A4.</w:t>
      </w:r>
    </w:p>
    <w:p w14:paraId="2A31E725" w14:textId="77777777" w:rsidR="001C5F3C" w:rsidRPr="002E5E25" w:rsidRDefault="001C5F3C" w:rsidP="001C5F3C">
      <w:pPr>
        <w:pStyle w:val="Prrafodelista"/>
        <w:spacing w:after="0" w:line="276" w:lineRule="auto"/>
        <w:ind w:left="1428"/>
        <w:jc w:val="both"/>
        <w:rPr>
          <w:rFonts w:ascii="Century Gothic" w:eastAsia="Times New Roman" w:hAnsi="Century Gothic" w:cstheme="minorHAnsi"/>
          <w:bCs/>
          <w:lang w:eastAsia="es-ES"/>
        </w:rPr>
      </w:pPr>
    </w:p>
    <w:p w14:paraId="577D505B" w14:textId="77777777" w:rsidR="001C5F3C" w:rsidRPr="002E5E25" w:rsidRDefault="001C5F3C" w:rsidP="006965D8">
      <w:pPr>
        <w:pStyle w:val="Prrafodelista"/>
        <w:numPr>
          <w:ilvl w:val="0"/>
          <w:numId w:val="31"/>
        </w:numPr>
        <w:spacing w:after="0" w:line="276" w:lineRule="auto"/>
        <w:jc w:val="both"/>
        <w:rPr>
          <w:rFonts w:ascii="Century Gothic" w:eastAsia="Times New Roman" w:hAnsi="Century Gothic" w:cstheme="minorHAnsi"/>
          <w:bCs/>
          <w:lang w:eastAsia="es-ES"/>
        </w:rPr>
      </w:pPr>
      <w:r w:rsidRPr="002E5E25">
        <w:rPr>
          <w:rFonts w:ascii="Century Gothic" w:eastAsia="Times New Roman" w:hAnsi="Century Gothic" w:cstheme="minorHAnsi"/>
          <w:bCs/>
          <w:lang w:eastAsia="es-ES"/>
        </w:rPr>
        <w:t xml:space="preserve">Las cisternas deberán contar con un sistema ESD ‡ (Apagado de emergencia) y </w:t>
      </w:r>
      <w:r>
        <w:rPr>
          <w:rFonts w:ascii="Century Gothic" w:eastAsia="Times New Roman" w:hAnsi="Century Gothic" w:cstheme="minorHAnsi"/>
          <w:bCs/>
          <w:lang w:eastAsia="es-ES"/>
        </w:rPr>
        <w:t xml:space="preserve">las mangueras con un sistema </w:t>
      </w:r>
      <w:r w:rsidRPr="002E5E25">
        <w:rPr>
          <w:rFonts w:ascii="Century Gothic" w:eastAsia="Times New Roman" w:hAnsi="Century Gothic" w:cstheme="minorHAnsi"/>
          <w:bCs/>
          <w:lang w:eastAsia="es-ES"/>
        </w:rPr>
        <w:t xml:space="preserve">ERS (Desconexión de emergencia) cuya instalación y fabricación ha de cumplir con la norma ISO 20519 e ISO 16904. El anexo D del documento ESD ‡ arrangements &amp; linked </w:t>
      </w:r>
      <w:r w:rsidRPr="002E5E25">
        <w:rPr>
          <w:rFonts w:ascii="Century Gothic" w:eastAsia="Times New Roman" w:hAnsi="Century Gothic" w:cstheme="minorHAnsi"/>
          <w:bCs/>
          <w:lang w:eastAsia="es-ES"/>
        </w:rPr>
        <w:lastRenderedPageBreak/>
        <w:t>Ship/Shore systems for liquified Gas Carriers, dispone los requerimientos de enlace entre el buque suministrado y el camión o contenedor cisterna.</w:t>
      </w:r>
    </w:p>
    <w:p w14:paraId="7D808BB2" w14:textId="77777777" w:rsidR="001C5F3C" w:rsidRDefault="001C5F3C" w:rsidP="001C5F3C">
      <w:pPr>
        <w:spacing w:after="0" w:line="276" w:lineRule="auto"/>
        <w:ind w:left="360"/>
        <w:jc w:val="both"/>
        <w:rPr>
          <w:rFonts w:ascii="Century Gothic" w:eastAsia="Times New Roman" w:hAnsi="Century Gothic" w:cstheme="minorHAnsi"/>
          <w:bCs/>
          <w:lang w:eastAsia="es-ES"/>
        </w:rPr>
      </w:pPr>
    </w:p>
    <w:p w14:paraId="477C274C" w14:textId="77777777" w:rsidR="001C5F3C" w:rsidRPr="009F62D5" w:rsidRDefault="001C5F3C" w:rsidP="006965D8">
      <w:pPr>
        <w:pStyle w:val="Prrafodelista"/>
        <w:numPr>
          <w:ilvl w:val="0"/>
          <w:numId w:val="69"/>
        </w:numPr>
        <w:spacing w:line="278" w:lineRule="auto"/>
        <w:jc w:val="both"/>
        <w:rPr>
          <w:rFonts w:ascii="Century Gothic" w:hAnsi="Century Gothic"/>
          <w:b/>
          <w:bCs/>
        </w:rPr>
      </w:pPr>
      <w:r w:rsidRPr="009F62D5">
        <w:rPr>
          <w:rFonts w:ascii="Century Gothic" w:hAnsi="Century Gothic"/>
          <w:b/>
          <w:bCs/>
        </w:rPr>
        <w:t>Zonas y restricciones al suministro</w:t>
      </w:r>
    </w:p>
    <w:p w14:paraId="00FC5D5D" w14:textId="77777777" w:rsidR="001C5F3C" w:rsidRPr="00827FF5" w:rsidRDefault="001C5F3C" w:rsidP="001C5F3C">
      <w:pPr>
        <w:spacing w:after="0" w:line="276" w:lineRule="auto"/>
        <w:ind w:left="360"/>
        <w:jc w:val="both"/>
        <w:rPr>
          <w:rFonts w:ascii="Century Gothic" w:eastAsia="Times New Roman" w:hAnsi="Century Gothic" w:cstheme="minorHAnsi"/>
          <w:bCs/>
          <w:lang w:eastAsia="es-ES"/>
        </w:rPr>
      </w:pPr>
    </w:p>
    <w:p w14:paraId="13F1F267" w14:textId="77777777" w:rsidR="007A36AA" w:rsidRDefault="001C5F3C" w:rsidP="001C5F3C">
      <w:pPr>
        <w:rPr>
          <w:rFonts w:ascii="Century Gothic" w:eastAsia="Times New Roman" w:hAnsi="Century Gothic" w:cstheme="minorHAnsi"/>
          <w:bCs/>
          <w:color w:val="FF0000"/>
          <w:lang w:eastAsia="es-ES"/>
        </w:rPr>
      </w:pPr>
      <w:r>
        <w:rPr>
          <w:rFonts w:ascii="Century Gothic" w:eastAsia="Times New Roman" w:hAnsi="Century Gothic" w:cstheme="minorHAnsi"/>
          <w:bCs/>
          <w:lang w:eastAsia="es-ES"/>
        </w:rPr>
        <w:t xml:space="preserve"> </w:t>
      </w:r>
      <w:r w:rsidRPr="00031E38">
        <w:rPr>
          <w:rFonts w:ascii="Century Gothic" w:eastAsia="Times New Roman" w:hAnsi="Century Gothic" w:cstheme="minorHAnsi"/>
          <w:bCs/>
          <w:color w:val="FF0000"/>
          <w:lang w:eastAsia="es-ES"/>
        </w:rPr>
        <w:t xml:space="preserve">[A </w:t>
      </w:r>
      <w:r>
        <w:rPr>
          <w:rFonts w:ascii="Century Gothic" w:eastAsia="Times New Roman" w:hAnsi="Century Gothic" w:cstheme="minorHAnsi"/>
          <w:bCs/>
          <w:color w:val="FF0000"/>
          <w:lang w:eastAsia="es-ES"/>
        </w:rPr>
        <w:t>completar</w:t>
      </w:r>
      <w:r w:rsidRPr="00031E38">
        <w:rPr>
          <w:rFonts w:ascii="Century Gothic" w:eastAsia="Times New Roman" w:hAnsi="Century Gothic" w:cstheme="minorHAnsi"/>
          <w:bCs/>
          <w:color w:val="FF0000"/>
          <w:lang w:eastAsia="es-ES"/>
        </w:rPr>
        <w:t xml:space="preserve"> por la Autoridad Portuaria]</w:t>
      </w:r>
    </w:p>
    <w:p w14:paraId="79F1A964" w14:textId="77777777" w:rsidR="007A36AA" w:rsidRDefault="007A36AA" w:rsidP="001C5F3C">
      <w:pPr>
        <w:rPr>
          <w:rFonts w:ascii="Century Gothic" w:eastAsia="Times New Roman" w:hAnsi="Century Gothic" w:cstheme="minorHAnsi"/>
          <w:bCs/>
          <w:color w:val="FF0000"/>
          <w:lang w:eastAsia="es-ES"/>
        </w:rPr>
      </w:pPr>
    </w:p>
    <w:p w14:paraId="345CCCF8" w14:textId="77777777" w:rsidR="00E45C87" w:rsidRDefault="00E45C87" w:rsidP="007A36AA">
      <w:pPr>
        <w:jc w:val="both"/>
        <w:rPr>
          <w:rFonts w:ascii="Century Gothic" w:hAnsi="Century Gothic" w:cs="Arial"/>
        </w:rPr>
      </w:pPr>
    </w:p>
    <w:p w14:paraId="6C966896" w14:textId="7B598553" w:rsidR="001C5F3C" w:rsidRDefault="007A36AA" w:rsidP="007A36AA">
      <w:pPr>
        <w:jc w:val="both"/>
        <w:rPr>
          <w:rFonts w:ascii="Century Gothic" w:eastAsia="Times New Roman" w:hAnsi="Century Gothic" w:cstheme="minorHAnsi"/>
          <w:bCs/>
          <w:lang w:eastAsia="es-ES"/>
        </w:rPr>
      </w:pPr>
      <w:r w:rsidRPr="00E34492">
        <w:rPr>
          <w:rFonts w:ascii="Century Gothic" w:hAnsi="Century Gothic" w:cs="Arial"/>
        </w:rPr>
        <w:t>Una vez obtenido el otorgamiento de</w:t>
      </w:r>
      <w:r>
        <w:rPr>
          <w:rFonts w:ascii="Century Gothic" w:hAnsi="Century Gothic" w:cs="Arial"/>
        </w:rPr>
        <w:t xml:space="preserve"> una </w:t>
      </w:r>
      <w:r w:rsidRPr="00E34492">
        <w:rPr>
          <w:rFonts w:ascii="Century Gothic" w:hAnsi="Century Gothic" w:cs="Arial"/>
        </w:rPr>
        <w:t xml:space="preserve">validación técnica </w:t>
      </w:r>
      <w:r>
        <w:rPr>
          <w:rFonts w:ascii="Century Gothic" w:hAnsi="Century Gothic" w:cs="Arial"/>
        </w:rPr>
        <w:t>de operaciones conforme al presente apartado,</w:t>
      </w:r>
      <w:r>
        <w:rPr>
          <w:rFonts w:ascii="Century Gothic" w:hAnsi="Century Gothic" w:cs="Arial"/>
          <w:b/>
          <w:bCs/>
        </w:rPr>
        <w:t xml:space="preserve"> cada</w:t>
      </w:r>
      <w:r w:rsidRPr="007451D3">
        <w:rPr>
          <w:rFonts w:ascii="Century Gothic" w:hAnsi="Century Gothic" w:cs="Arial"/>
          <w:b/>
          <w:bCs/>
        </w:rPr>
        <w:t xml:space="preserve"> operación individual </w:t>
      </w:r>
      <w:r>
        <w:rPr>
          <w:rFonts w:ascii="Century Gothic" w:hAnsi="Century Gothic" w:cs="Arial"/>
          <w:b/>
          <w:bCs/>
        </w:rPr>
        <w:t xml:space="preserve">exigirá </w:t>
      </w:r>
      <w:r w:rsidRPr="007451D3">
        <w:rPr>
          <w:rFonts w:ascii="Century Gothic" w:hAnsi="Century Gothic" w:cs="Arial"/>
          <w:b/>
          <w:bCs/>
        </w:rPr>
        <w:t>la notificación a la Autoridad Portuaria mediante la presentación, con una antelación mínima de 24 horas, del formulario de «NOTIFICACIÓN DE SUMINISTRO DE GNL, BIO GNL Y e-GNL POR MEDIO DE CAMIÓN CISTERNA» contenido en el Anexo 1.a</w:t>
      </w:r>
      <w:r>
        <w:rPr>
          <w:rFonts w:ascii="Century Gothic" w:hAnsi="Century Gothic" w:cs="Arial"/>
          <w:b/>
          <w:bCs/>
        </w:rPr>
        <w:t xml:space="preserve"> TTS</w:t>
      </w:r>
      <w:r w:rsidRPr="007451D3">
        <w:rPr>
          <w:rFonts w:ascii="Century Gothic" w:hAnsi="Century Gothic" w:cs="Arial"/>
          <w:b/>
          <w:bCs/>
        </w:rPr>
        <w:t>)</w:t>
      </w:r>
      <w:r>
        <w:rPr>
          <w:rFonts w:ascii="Century Gothic" w:hAnsi="Century Gothic" w:cs="Arial"/>
          <w:b/>
          <w:bCs/>
        </w:rPr>
        <w:t xml:space="preserve"> siguiente</w:t>
      </w:r>
      <w:r w:rsidRPr="007451D3">
        <w:rPr>
          <w:rFonts w:ascii="Century Gothic" w:hAnsi="Century Gothic" w:cs="Arial"/>
          <w:b/>
          <w:bCs/>
        </w:rPr>
        <w:t xml:space="preserve"> de este PCP</w:t>
      </w:r>
      <w:r>
        <w:rPr>
          <w:rFonts w:ascii="Century Gothic" w:hAnsi="Century Gothic" w:cs="Arial"/>
          <w:b/>
          <w:bCs/>
        </w:rPr>
        <w:t>.</w:t>
      </w:r>
      <w:r w:rsidR="001C5F3C">
        <w:rPr>
          <w:rFonts w:ascii="Century Gothic" w:eastAsia="Times New Roman" w:hAnsi="Century Gothic" w:cstheme="minorHAnsi"/>
          <w:bCs/>
          <w:lang w:eastAsia="es-ES"/>
        </w:rPr>
        <w:br w:type="page"/>
      </w:r>
    </w:p>
    <w:p w14:paraId="61373E59" w14:textId="7D397220" w:rsidR="001C5F3C" w:rsidRPr="00955C7C" w:rsidRDefault="001C5F3C" w:rsidP="001C5F3C">
      <w:pPr>
        <w:spacing w:line="276" w:lineRule="auto"/>
        <w:jc w:val="center"/>
        <w:rPr>
          <w:rFonts w:ascii="Century Gothic" w:eastAsiaTheme="majorEastAsia" w:hAnsi="Century Gothic" w:cstheme="minorHAnsi"/>
          <w:b/>
          <w:color w:val="2F5496" w:themeColor="accent1" w:themeShade="BF"/>
          <w:sz w:val="32"/>
          <w:szCs w:val="32"/>
        </w:rPr>
      </w:pPr>
      <w:r w:rsidRPr="004A4B0A">
        <w:rPr>
          <w:rFonts w:ascii="Century Gothic" w:eastAsiaTheme="majorEastAsia" w:hAnsi="Century Gothic" w:cstheme="minorHAnsi"/>
          <w:b/>
          <w:color w:val="2F5496" w:themeColor="accent1" w:themeShade="BF"/>
          <w:sz w:val="32"/>
          <w:szCs w:val="32"/>
        </w:rPr>
        <w:lastRenderedPageBreak/>
        <w:t>ANEXO I</w:t>
      </w:r>
      <w:r>
        <w:rPr>
          <w:rFonts w:ascii="Century Gothic" w:eastAsiaTheme="majorEastAsia" w:hAnsi="Century Gothic" w:cstheme="minorHAnsi"/>
          <w:b/>
          <w:color w:val="2F5496" w:themeColor="accent1" w:themeShade="BF"/>
          <w:sz w:val="32"/>
          <w:szCs w:val="32"/>
        </w:rPr>
        <w:t>.a TTS)</w:t>
      </w:r>
      <w:r w:rsidRPr="004A4B0A">
        <w:rPr>
          <w:rFonts w:ascii="Century Gothic" w:eastAsiaTheme="majorEastAsia" w:hAnsi="Century Gothic" w:cstheme="minorHAnsi"/>
          <w:b/>
          <w:color w:val="2F5496" w:themeColor="accent1" w:themeShade="BF"/>
          <w:sz w:val="32"/>
          <w:szCs w:val="32"/>
        </w:rPr>
        <w:t xml:space="preserve">: </w:t>
      </w:r>
      <w:r>
        <w:rPr>
          <w:rFonts w:ascii="Century Gothic" w:eastAsiaTheme="majorEastAsia" w:hAnsi="Century Gothic" w:cstheme="minorHAnsi"/>
          <w:b/>
          <w:color w:val="2F5496" w:themeColor="accent1" w:themeShade="BF"/>
          <w:sz w:val="32"/>
          <w:szCs w:val="32"/>
        </w:rPr>
        <w:t>MODELO DE NOTIFICACIÓN DE SUMINISTRO</w:t>
      </w:r>
      <w:r w:rsidR="00364274">
        <w:rPr>
          <w:rFonts w:ascii="Century Gothic" w:eastAsiaTheme="majorEastAsia" w:hAnsi="Century Gothic" w:cstheme="minorHAnsi"/>
          <w:b/>
          <w:color w:val="2F5496" w:themeColor="accent1" w:themeShade="BF"/>
          <w:sz w:val="32"/>
          <w:szCs w:val="32"/>
        </w:rPr>
        <w:t xml:space="preserve"> </w:t>
      </w:r>
    </w:p>
    <w:p w14:paraId="1F5FCB74" w14:textId="77777777" w:rsidR="001C5F3C" w:rsidRDefault="001C5F3C" w:rsidP="001C5F3C">
      <w:pPr>
        <w:autoSpaceDE w:val="0"/>
        <w:autoSpaceDN w:val="0"/>
        <w:adjustRightInd w:val="0"/>
        <w:ind w:right="-285"/>
        <w:jc w:val="center"/>
        <w:rPr>
          <w:rFonts w:ascii="Arial" w:hAnsi="Arial" w:cs="Arial"/>
          <w:b/>
          <w:sz w:val="24"/>
        </w:rPr>
      </w:pPr>
      <w:r>
        <w:rPr>
          <w:rFonts w:ascii="Arial" w:hAnsi="Arial" w:cs="Arial"/>
          <w:b/>
          <w:sz w:val="24"/>
        </w:rPr>
        <w:t>NOTIFICACIÓN DEL SUMINISTRADOR DE GNL, BIO GNL Y e-GNL</w:t>
      </w:r>
    </w:p>
    <w:p w14:paraId="390CE2EE" w14:textId="77777777" w:rsidR="001C5F3C" w:rsidRPr="00955C7C" w:rsidRDefault="001C5F3C" w:rsidP="001C5F3C">
      <w:pPr>
        <w:autoSpaceDE w:val="0"/>
        <w:autoSpaceDN w:val="0"/>
        <w:adjustRightInd w:val="0"/>
        <w:ind w:right="-285"/>
        <w:jc w:val="center"/>
        <w:rPr>
          <w:rFonts w:ascii="Arial" w:hAnsi="Arial" w:cs="Arial"/>
          <w:b/>
          <w:color w:val="0000FF"/>
        </w:rPr>
      </w:pPr>
      <w:r>
        <w:rPr>
          <w:rFonts w:ascii="Arial" w:hAnsi="Arial" w:cs="Arial"/>
          <w:b/>
          <w:sz w:val="24"/>
        </w:rPr>
        <w:t>POR MEDIO DE</w:t>
      </w:r>
      <w:r w:rsidRPr="000331D8">
        <w:rPr>
          <w:rFonts w:ascii="Arial" w:hAnsi="Arial" w:cs="Arial"/>
          <w:b/>
          <w:sz w:val="24"/>
        </w:rPr>
        <w:t xml:space="preserve"> CAMIÓN CISTERNA</w:t>
      </w:r>
    </w:p>
    <w:p w14:paraId="3E6A8A5F" w14:textId="77777777" w:rsidR="001C5F3C" w:rsidRPr="003F5713" w:rsidRDefault="001C5F3C" w:rsidP="001C5F3C">
      <w:pPr>
        <w:pStyle w:val="Textoindependiente"/>
        <w:spacing w:line="288" w:lineRule="auto"/>
        <w:ind w:right="-285"/>
        <w:jc w:val="both"/>
        <w:rPr>
          <w:rFonts w:cs="Arial"/>
          <w:b w:val="0"/>
          <w:sz w:val="20"/>
        </w:rPr>
      </w:pPr>
      <w:r w:rsidRPr="003F5713">
        <w:rPr>
          <w:rFonts w:cs="Arial"/>
          <w:b w:val="0"/>
          <w:sz w:val="20"/>
        </w:rPr>
        <w:t xml:space="preserve">De:     </w:t>
      </w:r>
      <w:r w:rsidRPr="003F5713">
        <w:rPr>
          <w:rFonts w:cs="Arial"/>
          <w:b w:val="0"/>
          <w:color w:val="800000"/>
          <w:sz w:val="22"/>
          <w:szCs w:val="22"/>
        </w:rPr>
        <w:fldChar w:fldCharType="begin">
          <w:ffData>
            <w:name w:val=""/>
            <w:enabled/>
            <w:calcOnExit w:val="0"/>
            <w:textInput/>
          </w:ffData>
        </w:fldChar>
      </w:r>
      <w:r w:rsidRPr="003F5713">
        <w:rPr>
          <w:rFonts w:cs="Arial"/>
          <w:b w:val="0"/>
          <w:color w:val="800000"/>
          <w:sz w:val="22"/>
          <w:szCs w:val="22"/>
        </w:rPr>
        <w:instrText xml:space="preserve"> FORMTEXT </w:instrText>
      </w:r>
      <w:r w:rsidRPr="003F5713">
        <w:rPr>
          <w:rFonts w:cs="Arial"/>
          <w:b w:val="0"/>
          <w:color w:val="800000"/>
          <w:sz w:val="22"/>
          <w:szCs w:val="22"/>
        </w:rPr>
      </w:r>
      <w:r w:rsidRPr="003F5713">
        <w:rPr>
          <w:rFonts w:cs="Arial"/>
          <w:b w:val="0"/>
          <w:color w:val="800000"/>
          <w:sz w:val="22"/>
          <w:szCs w:val="22"/>
        </w:rPr>
        <w:fldChar w:fldCharType="separate"/>
      </w:r>
      <w:r w:rsidRPr="003F5713">
        <w:rPr>
          <w:rFonts w:cs="Arial"/>
          <w:b w:val="0"/>
          <w:noProof/>
          <w:color w:val="800000"/>
          <w:sz w:val="22"/>
          <w:szCs w:val="22"/>
        </w:rPr>
        <w:t> </w:t>
      </w:r>
      <w:r w:rsidRPr="003F5713">
        <w:rPr>
          <w:rFonts w:cs="Arial"/>
          <w:b w:val="0"/>
          <w:noProof/>
          <w:color w:val="800000"/>
          <w:sz w:val="22"/>
          <w:szCs w:val="22"/>
        </w:rPr>
        <w:t> </w:t>
      </w:r>
      <w:r w:rsidRPr="003F5713">
        <w:rPr>
          <w:rFonts w:cs="Arial"/>
          <w:b w:val="0"/>
          <w:noProof/>
          <w:color w:val="800000"/>
          <w:sz w:val="22"/>
          <w:szCs w:val="22"/>
        </w:rPr>
        <w:t> </w:t>
      </w:r>
      <w:r w:rsidRPr="003F5713">
        <w:rPr>
          <w:rFonts w:cs="Arial"/>
          <w:b w:val="0"/>
          <w:noProof/>
          <w:color w:val="800000"/>
          <w:sz w:val="22"/>
          <w:szCs w:val="22"/>
        </w:rPr>
        <w:t> </w:t>
      </w:r>
      <w:r w:rsidRPr="003F5713">
        <w:rPr>
          <w:rFonts w:cs="Arial"/>
          <w:b w:val="0"/>
          <w:noProof/>
          <w:color w:val="800000"/>
          <w:sz w:val="22"/>
          <w:szCs w:val="22"/>
        </w:rPr>
        <w:t> </w:t>
      </w:r>
      <w:r w:rsidRPr="003F5713">
        <w:rPr>
          <w:rFonts w:cs="Arial"/>
          <w:b w:val="0"/>
          <w:color w:val="800000"/>
          <w:sz w:val="22"/>
          <w:szCs w:val="22"/>
        </w:rPr>
        <w:fldChar w:fldCharType="end"/>
      </w:r>
      <w:r w:rsidRPr="003F5713">
        <w:rPr>
          <w:rFonts w:cs="Arial"/>
          <w:b w:val="0"/>
          <w:sz w:val="20"/>
        </w:rPr>
        <w:t xml:space="preserve"> </w:t>
      </w:r>
      <w:r w:rsidRPr="003F5713">
        <w:rPr>
          <w:rFonts w:cs="Arial"/>
          <w:b w:val="0"/>
          <w:color w:val="800000"/>
        </w:rPr>
        <w:t xml:space="preserve"> </w:t>
      </w:r>
      <w:r w:rsidRPr="003F5713">
        <w:rPr>
          <w:rFonts w:cs="Arial"/>
          <w:b w:val="0"/>
          <w:sz w:val="20"/>
        </w:rPr>
        <w:t xml:space="preserve">   </w:t>
      </w:r>
      <w:r w:rsidRPr="003F5713">
        <w:rPr>
          <w:rFonts w:cs="Arial"/>
          <w:b w:val="0"/>
          <w:sz w:val="20"/>
        </w:rPr>
        <w:tab/>
      </w:r>
      <w:r w:rsidRPr="003F5713">
        <w:rPr>
          <w:rFonts w:cs="Arial"/>
          <w:b w:val="0"/>
          <w:sz w:val="20"/>
        </w:rPr>
        <w:tab/>
      </w:r>
      <w:r w:rsidRPr="003F5713">
        <w:rPr>
          <w:rFonts w:cs="Arial"/>
          <w:b w:val="0"/>
          <w:sz w:val="20"/>
        </w:rPr>
        <w:tab/>
      </w:r>
      <w:r w:rsidRPr="003F5713">
        <w:rPr>
          <w:rFonts w:cs="Arial"/>
          <w:b w:val="0"/>
          <w:sz w:val="20"/>
        </w:rPr>
        <w:tab/>
      </w:r>
      <w:r w:rsidRPr="003F5713">
        <w:rPr>
          <w:rFonts w:cs="Arial"/>
          <w:b w:val="0"/>
          <w:sz w:val="20"/>
        </w:rPr>
        <w:tab/>
      </w:r>
    </w:p>
    <w:p w14:paraId="184B240C" w14:textId="77777777" w:rsidR="001C5F3C" w:rsidRPr="003F5713" w:rsidRDefault="001C5F3C" w:rsidP="001C5F3C">
      <w:pPr>
        <w:pStyle w:val="Textoindependiente"/>
        <w:spacing w:line="288" w:lineRule="auto"/>
        <w:ind w:right="-285"/>
        <w:jc w:val="both"/>
        <w:rPr>
          <w:rFonts w:cs="Arial"/>
          <w:b w:val="0"/>
          <w:sz w:val="20"/>
        </w:rPr>
      </w:pPr>
      <w:r w:rsidRPr="003F5713">
        <w:rPr>
          <w:rFonts w:cs="Arial"/>
          <w:b w:val="0"/>
          <w:sz w:val="20"/>
        </w:rPr>
        <w:t xml:space="preserve">A: </w:t>
      </w:r>
      <w:r>
        <w:rPr>
          <w:rFonts w:cs="Arial"/>
          <w:b w:val="0"/>
          <w:sz w:val="20"/>
        </w:rPr>
        <w:t xml:space="preserve">Correo electrónico de contacto del dpto. </w:t>
      </w:r>
      <w:r w:rsidRPr="00962824">
        <w:rPr>
          <w:rFonts w:cs="Arial"/>
          <w:b w:val="0"/>
          <w:color w:val="FF0000"/>
          <w:sz w:val="20"/>
        </w:rPr>
        <w:t xml:space="preserve">XXX </w:t>
      </w:r>
      <w:r>
        <w:rPr>
          <w:rFonts w:cs="Arial"/>
          <w:b w:val="0"/>
          <w:sz w:val="20"/>
        </w:rPr>
        <w:t xml:space="preserve">de la Autoridad Portuaria correspondiente </w:t>
      </w:r>
    </w:p>
    <w:p w14:paraId="15B2A96B" w14:textId="77777777" w:rsidR="001C5F3C" w:rsidRPr="003F5713" w:rsidRDefault="001C5F3C" w:rsidP="001C5F3C">
      <w:pPr>
        <w:pStyle w:val="Ttulocaptulo"/>
        <w:spacing w:line="288" w:lineRule="auto"/>
        <w:ind w:right="-284"/>
        <w:rPr>
          <w:rFonts w:ascii="Arial" w:hAnsi="Arial" w:cs="Arial"/>
          <w:b w:val="0"/>
          <w:sz w:val="20"/>
        </w:rPr>
      </w:pPr>
      <w:r w:rsidRPr="003F5713">
        <w:rPr>
          <w:rFonts w:ascii="Arial" w:hAnsi="Arial" w:cs="Arial"/>
          <w:b w:val="0"/>
          <w:sz w:val="20"/>
        </w:rPr>
        <w:t xml:space="preserve">La empresa suministradora/distribuidora:  </w:t>
      </w:r>
      <w:r w:rsidRPr="003F5713">
        <w:rPr>
          <w:rFonts w:ascii="Arial" w:hAnsi="Arial" w:cs="Arial"/>
          <w:b w:val="0"/>
          <w:bCs/>
          <w:color w:val="800000"/>
          <w:u w:val="single"/>
        </w:rPr>
        <w:fldChar w:fldCharType="begin">
          <w:ffData>
            <w:name w:val="Texto18"/>
            <w:enabled/>
            <w:calcOnExit w:val="0"/>
            <w:textInput>
              <w:format w:val="UPPERCASE"/>
            </w:textInput>
          </w:ffData>
        </w:fldChar>
      </w:r>
      <w:r w:rsidRPr="003F5713">
        <w:rPr>
          <w:rFonts w:ascii="Arial" w:hAnsi="Arial" w:cs="Arial"/>
          <w:b w:val="0"/>
          <w:bCs/>
          <w:color w:val="800000"/>
          <w:u w:val="single"/>
        </w:rPr>
        <w:instrText xml:space="preserve"> FORMTEXT </w:instrText>
      </w:r>
      <w:r w:rsidRPr="003F5713">
        <w:rPr>
          <w:rFonts w:ascii="Arial" w:hAnsi="Arial" w:cs="Arial"/>
          <w:b w:val="0"/>
          <w:bCs/>
          <w:color w:val="800000"/>
          <w:u w:val="single"/>
        </w:rPr>
      </w:r>
      <w:r w:rsidRPr="003F5713">
        <w:rPr>
          <w:rFonts w:ascii="Arial" w:hAnsi="Arial" w:cs="Arial"/>
          <w:b w:val="0"/>
          <w:bCs/>
          <w:color w:val="800000"/>
          <w:u w:val="single"/>
        </w:rPr>
        <w:fldChar w:fldCharType="separate"/>
      </w:r>
      <w:r w:rsidRPr="003F5713">
        <w:rPr>
          <w:rFonts w:ascii="Arial" w:hAnsi="Arial" w:cs="Arial"/>
          <w:b w:val="0"/>
          <w:bCs/>
          <w:color w:val="800000"/>
          <w:u w:val="single"/>
        </w:rPr>
        <w:t> </w:t>
      </w:r>
      <w:r w:rsidRPr="003F5713">
        <w:rPr>
          <w:rFonts w:ascii="Arial" w:hAnsi="Arial" w:cs="Arial"/>
          <w:b w:val="0"/>
          <w:bCs/>
          <w:color w:val="800000"/>
          <w:u w:val="single"/>
        </w:rPr>
        <w:t> </w:t>
      </w:r>
      <w:r w:rsidRPr="003F5713">
        <w:rPr>
          <w:rFonts w:ascii="Arial" w:hAnsi="Arial" w:cs="Arial"/>
          <w:b w:val="0"/>
          <w:bCs/>
          <w:color w:val="800000"/>
          <w:u w:val="single"/>
        </w:rPr>
        <w:t> </w:t>
      </w:r>
      <w:r w:rsidRPr="003F5713">
        <w:rPr>
          <w:rFonts w:ascii="Arial" w:hAnsi="Arial" w:cs="Arial"/>
          <w:b w:val="0"/>
          <w:bCs/>
          <w:color w:val="800000"/>
          <w:u w:val="single"/>
        </w:rPr>
        <w:t> </w:t>
      </w:r>
      <w:r w:rsidRPr="003F5713">
        <w:rPr>
          <w:rFonts w:ascii="Arial" w:hAnsi="Arial" w:cs="Arial"/>
          <w:b w:val="0"/>
          <w:bCs/>
          <w:color w:val="800000"/>
          <w:u w:val="single"/>
        </w:rPr>
        <w:t> </w:t>
      </w:r>
      <w:r w:rsidRPr="003F5713">
        <w:rPr>
          <w:rFonts w:ascii="Arial" w:hAnsi="Arial" w:cs="Arial"/>
          <w:b w:val="0"/>
          <w:bCs/>
          <w:color w:val="800000"/>
          <w:u w:val="single"/>
        </w:rPr>
        <w:fldChar w:fldCharType="end"/>
      </w:r>
      <w:r w:rsidRPr="003F5713">
        <w:rPr>
          <w:rFonts w:ascii="Arial" w:hAnsi="Arial" w:cs="Arial"/>
          <w:b w:val="0"/>
          <w:sz w:val="20"/>
        </w:rPr>
        <w:t xml:space="preserve"> </w:t>
      </w:r>
      <w:r>
        <w:rPr>
          <w:rFonts w:ascii="Arial" w:hAnsi="Arial" w:cs="Arial"/>
          <w:b w:val="0"/>
          <w:sz w:val="20"/>
        </w:rPr>
        <w:t>comunica</w:t>
      </w:r>
      <w:r w:rsidRPr="003F5713">
        <w:rPr>
          <w:rFonts w:ascii="Arial" w:hAnsi="Arial" w:cs="Arial"/>
          <w:b w:val="0"/>
          <w:sz w:val="20"/>
        </w:rPr>
        <w:t xml:space="preserve"> </w:t>
      </w:r>
      <w:r>
        <w:rPr>
          <w:rFonts w:ascii="Arial" w:hAnsi="Arial" w:cs="Arial"/>
          <w:b w:val="0"/>
          <w:sz w:val="20"/>
        </w:rPr>
        <w:t>la operación de</w:t>
      </w:r>
      <w:r w:rsidRPr="003F5713">
        <w:rPr>
          <w:rFonts w:ascii="Arial" w:hAnsi="Arial" w:cs="Arial"/>
          <w:b w:val="0"/>
          <w:sz w:val="20"/>
        </w:rPr>
        <w:t xml:space="preserve"> suministro de </w:t>
      </w:r>
      <w:r>
        <w:rPr>
          <w:rFonts w:ascii="Arial" w:hAnsi="Arial" w:cs="Arial"/>
          <w:b w:val="0"/>
          <w:sz w:val="20"/>
        </w:rPr>
        <w:t>GL</w:t>
      </w:r>
      <w:r w:rsidRPr="003F5713">
        <w:rPr>
          <w:rFonts w:ascii="Arial" w:hAnsi="Arial" w:cs="Arial"/>
          <w:b w:val="0"/>
          <w:sz w:val="20"/>
        </w:rPr>
        <w:t xml:space="preserve">, por medio de camión cisterna, a través de la empresa transportista  </w:t>
      </w:r>
      <w:r w:rsidRPr="003F5713">
        <w:rPr>
          <w:rFonts w:ascii="Arial" w:hAnsi="Arial" w:cs="Arial"/>
          <w:b w:val="0"/>
          <w:bCs/>
          <w:color w:val="800000"/>
          <w:u w:val="single"/>
        </w:rPr>
        <w:fldChar w:fldCharType="begin">
          <w:ffData>
            <w:name w:val="Texto19"/>
            <w:enabled/>
            <w:calcOnExit w:val="0"/>
            <w:textInput>
              <w:format w:val="UPPERCASE"/>
            </w:textInput>
          </w:ffData>
        </w:fldChar>
      </w:r>
      <w:r w:rsidRPr="003F5713">
        <w:rPr>
          <w:rFonts w:ascii="Arial" w:hAnsi="Arial" w:cs="Arial"/>
          <w:b w:val="0"/>
          <w:bCs/>
          <w:color w:val="800000"/>
          <w:u w:val="single"/>
        </w:rPr>
        <w:instrText xml:space="preserve"> FORMTEXT </w:instrText>
      </w:r>
      <w:r w:rsidRPr="003F5713">
        <w:rPr>
          <w:rFonts w:ascii="Arial" w:hAnsi="Arial" w:cs="Arial"/>
          <w:b w:val="0"/>
          <w:bCs/>
          <w:color w:val="800000"/>
          <w:u w:val="single"/>
        </w:rPr>
      </w:r>
      <w:r w:rsidRPr="003F5713">
        <w:rPr>
          <w:rFonts w:ascii="Arial" w:hAnsi="Arial" w:cs="Arial"/>
          <w:b w:val="0"/>
          <w:bCs/>
          <w:color w:val="800000"/>
          <w:u w:val="single"/>
        </w:rPr>
        <w:fldChar w:fldCharType="separate"/>
      </w:r>
      <w:r w:rsidRPr="003F5713">
        <w:rPr>
          <w:rFonts w:ascii="Arial" w:hAnsi="Arial" w:cs="Arial"/>
          <w:b w:val="0"/>
          <w:bCs/>
          <w:noProof/>
          <w:color w:val="800000"/>
          <w:u w:val="single"/>
        </w:rPr>
        <w:t> </w:t>
      </w:r>
      <w:r w:rsidRPr="003F5713">
        <w:rPr>
          <w:rFonts w:ascii="Arial" w:hAnsi="Arial" w:cs="Arial"/>
          <w:b w:val="0"/>
          <w:bCs/>
          <w:noProof/>
          <w:color w:val="800000"/>
          <w:u w:val="single"/>
        </w:rPr>
        <w:t> </w:t>
      </w:r>
      <w:r w:rsidRPr="003F5713">
        <w:rPr>
          <w:rFonts w:ascii="Arial" w:hAnsi="Arial" w:cs="Arial"/>
          <w:b w:val="0"/>
          <w:bCs/>
          <w:noProof/>
          <w:color w:val="800000"/>
          <w:u w:val="single"/>
        </w:rPr>
        <w:t> </w:t>
      </w:r>
      <w:r w:rsidRPr="003F5713">
        <w:rPr>
          <w:rFonts w:ascii="Arial" w:hAnsi="Arial" w:cs="Arial"/>
          <w:b w:val="0"/>
          <w:bCs/>
          <w:noProof/>
          <w:color w:val="800000"/>
          <w:u w:val="single"/>
        </w:rPr>
        <w:t> </w:t>
      </w:r>
      <w:r w:rsidRPr="003F5713">
        <w:rPr>
          <w:rFonts w:ascii="Arial" w:hAnsi="Arial" w:cs="Arial"/>
          <w:b w:val="0"/>
          <w:bCs/>
          <w:noProof/>
          <w:color w:val="800000"/>
          <w:u w:val="single"/>
        </w:rPr>
        <w:t> </w:t>
      </w:r>
      <w:r w:rsidRPr="003F5713">
        <w:rPr>
          <w:rFonts w:ascii="Arial" w:hAnsi="Arial" w:cs="Arial"/>
          <w:b w:val="0"/>
          <w:bCs/>
          <w:color w:val="800000"/>
          <w:u w:val="single"/>
        </w:rPr>
        <w:fldChar w:fldCharType="end"/>
      </w:r>
      <w:r w:rsidRPr="003F5713">
        <w:rPr>
          <w:rFonts w:ascii="Arial" w:hAnsi="Arial" w:cs="Arial"/>
          <w:b w:val="0"/>
          <w:bCs/>
          <w:color w:val="800000"/>
          <w:sz w:val="20"/>
          <w:u w:val="single"/>
        </w:rPr>
        <w:t>,</w:t>
      </w:r>
      <w:r w:rsidRPr="003F5713">
        <w:rPr>
          <w:rFonts w:ascii="Arial" w:hAnsi="Arial" w:cs="Arial"/>
          <w:b w:val="0"/>
          <w:bCs/>
          <w:sz w:val="20"/>
        </w:rPr>
        <w:t xml:space="preserve"> </w:t>
      </w:r>
      <w:r w:rsidRPr="003F5713">
        <w:rPr>
          <w:rFonts w:ascii="Arial" w:hAnsi="Arial" w:cs="Arial"/>
          <w:b w:val="0"/>
          <w:sz w:val="20"/>
        </w:rPr>
        <w:t xml:space="preserve">al buque abajo indicado guardando para ello todas las medidas de seguridad vigentes, aceptando disponer de los medios y conocer los </w:t>
      </w:r>
      <w:r>
        <w:rPr>
          <w:rFonts w:ascii="Arial" w:hAnsi="Arial" w:cs="Arial"/>
          <w:b w:val="0"/>
          <w:sz w:val="20"/>
        </w:rPr>
        <w:t xml:space="preserve">todos los </w:t>
      </w:r>
      <w:r w:rsidRPr="003F5713">
        <w:rPr>
          <w:rFonts w:ascii="Arial" w:hAnsi="Arial" w:cs="Arial"/>
          <w:b w:val="0"/>
          <w:sz w:val="20"/>
        </w:rPr>
        <w:t xml:space="preserve">requisitos </w:t>
      </w:r>
      <w:r>
        <w:rPr>
          <w:rFonts w:ascii="Arial" w:hAnsi="Arial" w:cs="Arial"/>
          <w:b w:val="0"/>
          <w:sz w:val="20"/>
        </w:rPr>
        <w:t>establecidos para el suministro de GNL, BIO-GNL y e-GNL,</w:t>
      </w:r>
      <w:r w:rsidRPr="003F5713">
        <w:rPr>
          <w:rFonts w:ascii="Arial" w:hAnsi="Arial" w:cs="Arial"/>
          <w:b w:val="0"/>
          <w:sz w:val="20"/>
        </w:rPr>
        <w:t xml:space="preserve"> y eximiendo a la Autoridad Portuaria de responsabilidad ante cualquier accidente. </w:t>
      </w:r>
    </w:p>
    <w:p w14:paraId="021A252C" w14:textId="77777777" w:rsidR="001C5F3C" w:rsidRPr="00AF59B8" w:rsidRDefault="001C5F3C" w:rsidP="001C5F3C">
      <w:pPr>
        <w:pStyle w:val="Ttulocaptulo"/>
        <w:ind w:right="-285"/>
        <w:rPr>
          <w:rFonts w:ascii="Arial" w:hAnsi="Arial" w:cs="Arial"/>
          <w:sz w:val="10"/>
          <w:szCs w:val="10"/>
        </w:rPr>
      </w:pPr>
    </w:p>
    <w:p w14:paraId="4010BE69" w14:textId="77777777" w:rsidR="001C5F3C" w:rsidRPr="003F5713" w:rsidRDefault="001C5F3C" w:rsidP="001C5F3C">
      <w:pPr>
        <w:pStyle w:val="Ttulocaptulo"/>
        <w:spacing w:line="288" w:lineRule="auto"/>
        <w:ind w:right="-284"/>
        <w:rPr>
          <w:rFonts w:ascii="Arial" w:hAnsi="Arial" w:cs="Arial"/>
          <w:b w:val="0"/>
          <w:sz w:val="20"/>
        </w:rPr>
      </w:pPr>
      <w:r w:rsidRPr="003F5713">
        <w:rPr>
          <w:rFonts w:ascii="Arial" w:hAnsi="Arial" w:cs="Arial"/>
          <w:b w:val="0"/>
          <w:sz w:val="20"/>
        </w:rPr>
        <w:t xml:space="preserve">BUQUE:   </w:t>
      </w:r>
      <w:r w:rsidRPr="003F5713">
        <w:rPr>
          <w:rFonts w:ascii="Arial" w:hAnsi="Arial" w:cs="Arial"/>
          <w:b w:val="0"/>
          <w:bCs/>
          <w:sz w:val="20"/>
          <w:u w:val="single"/>
        </w:rPr>
        <w:fldChar w:fldCharType="begin">
          <w:ffData>
            <w:name w:val="Texto13"/>
            <w:enabled/>
            <w:calcOnExit w:val="0"/>
            <w:textInput>
              <w:format w:val="UPPERCASE"/>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Arial" w:hAnsi="Arial" w:cs="Arial"/>
          <w:b w:val="0"/>
          <w:bCs/>
          <w:noProof/>
          <w:sz w:val="20"/>
          <w:u w:val="single"/>
        </w:rPr>
        <w:t xml:space="preserve">             </w:t>
      </w:r>
      <w:r w:rsidRPr="003F5713">
        <w:rPr>
          <w:rFonts w:ascii="Arial" w:hAnsi="Arial" w:cs="Arial"/>
          <w:b w:val="0"/>
          <w:bCs/>
          <w:sz w:val="20"/>
          <w:u w:val="single"/>
        </w:rPr>
        <w:fldChar w:fldCharType="end"/>
      </w:r>
      <w:r w:rsidRPr="003F5713">
        <w:rPr>
          <w:rFonts w:ascii="Arial" w:hAnsi="Arial" w:cs="Arial"/>
          <w:b w:val="0"/>
          <w:sz w:val="20"/>
        </w:rPr>
        <w:t xml:space="preserve">    </w:t>
      </w:r>
      <w:r>
        <w:rPr>
          <w:rFonts w:ascii="Arial" w:hAnsi="Arial" w:cs="Arial"/>
          <w:b w:val="0"/>
          <w:sz w:val="20"/>
        </w:rPr>
        <w:tab/>
      </w:r>
      <w:r w:rsidRPr="003F5713">
        <w:rPr>
          <w:rFonts w:ascii="Arial" w:hAnsi="Arial" w:cs="Arial"/>
          <w:b w:val="0"/>
          <w:sz w:val="20"/>
        </w:rPr>
        <w:tab/>
        <w:t xml:space="preserve">MUELLE:  </w:t>
      </w:r>
      <w:r w:rsidRPr="003F5713">
        <w:rPr>
          <w:rFonts w:ascii="Arial" w:hAnsi="Arial" w:cs="Arial"/>
          <w:b w:val="0"/>
          <w:bCs/>
          <w:sz w:val="20"/>
          <w:u w:val="single"/>
        </w:rPr>
        <w:fldChar w:fldCharType="begin">
          <w:ffData>
            <w:name w:val="Texto20"/>
            <w:enabled/>
            <w:calcOnExit w:val="0"/>
            <w:textInput>
              <w:format w:val="UPPERCASE"/>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sz w:val="20"/>
          <w:u w:val="single"/>
        </w:rPr>
        <w:fldChar w:fldCharType="end"/>
      </w:r>
      <w:r w:rsidRPr="003F5713">
        <w:rPr>
          <w:rFonts w:ascii="Arial" w:hAnsi="Arial" w:cs="Arial"/>
          <w:b w:val="0"/>
          <w:sz w:val="20"/>
        </w:rPr>
        <w:t xml:space="preserve">      CONSIGNATARIO/ARMADOR:  </w:t>
      </w:r>
      <w:r w:rsidRPr="003F5713">
        <w:rPr>
          <w:rFonts w:ascii="Arial" w:hAnsi="Arial" w:cs="Arial"/>
          <w:b w:val="0"/>
          <w:bCs/>
          <w:sz w:val="20"/>
          <w:u w:val="single"/>
        </w:rPr>
        <w:fldChar w:fldCharType="begin">
          <w:ffData>
            <w:name w:val="Texto20"/>
            <w:enabled/>
            <w:calcOnExit w:val="0"/>
            <w:textInput>
              <w:format w:val="UPPERCASE"/>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sz w:val="20"/>
          <w:u w:val="single"/>
        </w:rPr>
        <w:fldChar w:fldCharType="end"/>
      </w:r>
      <w:r w:rsidRPr="003F5713">
        <w:rPr>
          <w:rFonts w:ascii="Arial" w:hAnsi="Arial" w:cs="Arial"/>
          <w:b w:val="0"/>
          <w:sz w:val="20"/>
        </w:rPr>
        <w:t xml:space="preserve">      </w:t>
      </w:r>
    </w:p>
    <w:p w14:paraId="5D65892D" w14:textId="77777777" w:rsidR="001C5F3C" w:rsidRPr="003F5713" w:rsidRDefault="001C5F3C" w:rsidP="001C5F3C">
      <w:pPr>
        <w:pStyle w:val="Ttulocaptulo"/>
        <w:spacing w:line="288" w:lineRule="auto"/>
        <w:ind w:right="-284"/>
        <w:rPr>
          <w:rFonts w:ascii="Arial" w:hAnsi="Arial" w:cs="Arial"/>
          <w:b w:val="0"/>
          <w:sz w:val="20"/>
        </w:rPr>
      </w:pPr>
      <w:r w:rsidRPr="003F5713">
        <w:rPr>
          <w:rFonts w:ascii="Arial" w:hAnsi="Arial" w:cs="Arial"/>
          <w:b w:val="0"/>
          <w:sz w:val="20"/>
        </w:rPr>
        <w:t xml:space="preserve">EMPRESA SUMINSTRADORA: </w:t>
      </w:r>
      <w:r w:rsidRPr="003F5713">
        <w:rPr>
          <w:rFonts w:ascii="Arial" w:hAnsi="Arial" w:cs="Arial"/>
          <w:b w:val="0"/>
          <w:bCs/>
          <w:sz w:val="20"/>
          <w:u w:val="single"/>
        </w:rPr>
        <w:fldChar w:fldCharType="begin">
          <w:ffData>
            <w:name w:val="Texto20"/>
            <w:enabled/>
            <w:calcOnExit w:val="0"/>
            <w:textInput>
              <w:format w:val="UPPERCASE"/>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Arial" w:hAnsi="Arial" w:cs="Arial"/>
          <w:b w:val="0"/>
          <w:bCs/>
          <w:sz w:val="20"/>
          <w:u w:val="single"/>
        </w:rPr>
        <w:fldChar w:fldCharType="end"/>
      </w:r>
      <w:r w:rsidRPr="003F5713">
        <w:rPr>
          <w:rFonts w:ascii="Arial" w:hAnsi="Arial" w:cs="Arial"/>
          <w:b w:val="0"/>
          <w:bCs/>
          <w:sz w:val="20"/>
        </w:rPr>
        <w:t xml:space="preserve"> </w:t>
      </w:r>
      <w:r>
        <w:rPr>
          <w:rFonts w:ascii="Arial" w:hAnsi="Arial" w:cs="Arial"/>
          <w:b w:val="0"/>
          <w:bCs/>
          <w:sz w:val="20"/>
        </w:rPr>
        <w:tab/>
      </w:r>
      <w:r>
        <w:rPr>
          <w:rFonts w:ascii="Arial" w:hAnsi="Arial" w:cs="Arial"/>
          <w:b w:val="0"/>
          <w:bCs/>
          <w:sz w:val="20"/>
        </w:rPr>
        <w:tab/>
      </w:r>
      <w:r w:rsidRPr="003F5713">
        <w:rPr>
          <w:rFonts w:ascii="Arial" w:hAnsi="Arial" w:cs="Arial"/>
          <w:b w:val="0"/>
          <w:sz w:val="20"/>
        </w:rPr>
        <w:t xml:space="preserve">CANTIDAD PRODUCTO: </w:t>
      </w:r>
      <w:r w:rsidRPr="003F5713">
        <w:rPr>
          <w:rFonts w:ascii="Arial" w:hAnsi="Arial" w:cs="Arial"/>
          <w:b w:val="0"/>
          <w:bCs/>
          <w:sz w:val="20"/>
          <w:u w:val="single"/>
        </w:rPr>
        <w:fldChar w:fldCharType="begin">
          <w:ffData>
            <w:name w:val=""/>
            <w:enabled/>
            <w:calcOnExit w:val="0"/>
            <w:textInput>
              <w:type w:val="number"/>
              <w:maxLength w:val="8"/>
              <w:format w:val="#.##0"/>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sz w:val="20"/>
          <w:u w:val="single"/>
        </w:rPr>
        <w:fldChar w:fldCharType="end"/>
      </w:r>
      <w:r w:rsidRPr="003F5713">
        <w:rPr>
          <w:rFonts w:ascii="Arial" w:hAnsi="Arial" w:cs="Arial"/>
          <w:b w:val="0"/>
          <w:sz w:val="20"/>
        </w:rPr>
        <w:t xml:space="preserve"> </w:t>
      </w:r>
      <w:r w:rsidRPr="00A314EB">
        <w:rPr>
          <w:rFonts w:ascii="Arial" w:hAnsi="Arial" w:cs="Arial"/>
          <w:b w:val="0"/>
          <w:color w:val="EE0000"/>
          <w:sz w:val="20"/>
        </w:rPr>
        <w:t>kg</w:t>
      </w:r>
      <w:r>
        <w:rPr>
          <w:rFonts w:ascii="Arial" w:hAnsi="Arial" w:cs="Arial"/>
          <w:b w:val="0"/>
          <w:color w:val="EE0000"/>
          <w:sz w:val="20"/>
        </w:rPr>
        <w:t xml:space="preserve"> </w:t>
      </w:r>
      <w:r w:rsidRPr="00A314EB">
        <w:rPr>
          <w:rFonts w:ascii="Arial" w:hAnsi="Arial" w:cs="Arial"/>
          <w:b w:val="0"/>
          <w:color w:val="EE0000"/>
          <w:sz w:val="20"/>
        </w:rPr>
        <w:t>/</w:t>
      </w:r>
      <w:r>
        <w:rPr>
          <w:rFonts w:ascii="Arial" w:hAnsi="Arial" w:cs="Arial"/>
          <w:b w:val="0"/>
          <w:color w:val="EE0000"/>
          <w:sz w:val="20"/>
        </w:rPr>
        <w:t xml:space="preserve"> </w:t>
      </w:r>
      <w:r w:rsidRPr="00A314EB">
        <w:rPr>
          <w:rFonts w:ascii="Arial" w:hAnsi="Arial" w:cs="Arial"/>
          <w:b w:val="0"/>
          <w:color w:val="EE0000"/>
          <w:sz w:val="20"/>
        </w:rPr>
        <w:t>toneladas</w:t>
      </w:r>
      <w:r>
        <w:rPr>
          <w:rFonts w:ascii="Arial" w:hAnsi="Arial" w:cs="Arial"/>
          <w:b w:val="0"/>
          <w:color w:val="EE0000"/>
          <w:sz w:val="20"/>
        </w:rPr>
        <w:t xml:space="preserve"> </w:t>
      </w:r>
      <w:r w:rsidRPr="00A314EB">
        <w:rPr>
          <w:rFonts w:ascii="Arial" w:hAnsi="Arial" w:cs="Arial"/>
          <w:b w:val="0"/>
          <w:color w:val="EE0000"/>
          <w:sz w:val="20"/>
        </w:rPr>
        <w:t>/</w:t>
      </w:r>
      <w:r>
        <w:rPr>
          <w:rFonts w:ascii="Arial" w:hAnsi="Arial" w:cs="Arial"/>
          <w:b w:val="0"/>
          <w:color w:val="EE0000"/>
          <w:sz w:val="20"/>
        </w:rPr>
        <w:t xml:space="preserve"> </w:t>
      </w:r>
      <w:r w:rsidRPr="00A314EB">
        <w:rPr>
          <w:rFonts w:ascii="Arial" w:hAnsi="Arial" w:cs="Arial"/>
          <w:b w:val="0"/>
          <w:color w:val="EE0000"/>
          <w:sz w:val="20"/>
        </w:rPr>
        <w:t>m</w:t>
      </w:r>
      <w:r w:rsidRPr="00A314EB">
        <w:rPr>
          <w:rFonts w:ascii="Arial" w:hAnsi="Arial" w:cs="Arial"/>
          <w:b w:val="0"/>
          <w:color w:val="EE0000"/>
          <w:sz w:val="20"/>
          <w:vertAlign w:val="superscript"/>
        </w:rPr>
        <w:t>3</w:t>
      </w:r>
      <w:r w:rsidRPr="003F5713">
        <w:rPr>
          <w:rFonts w:ascii="Arial" w:hAnsi="Arial" w:cs="Arial"/>
          <w:b w:val="0"/>
          <w:sz w:val="20"/>
        </w:rPr>
        <w:t xml:space="preserve">  </w:t>
      </w:r>
    </w:p>
    <w:p w14:paraId="1B4C7BAF" w14:textId="77777777" w:rsidR="001C5F3C" w:rsidRPr="003F5713" w:rsidRDefault="001C5F3C" w:rsidP="001C5F3C">
      <w:pPr>
        <w:pStyle w:val="Ttulocaptulo"/>
        <w:spacing w:line="288" w:lineRule="auto"/>
        <w:ind w:right="-284"/>
        <w:rPr>
          <w:rFonts w:ascii="Arial" w:hAnsi="Arial" w:cs="Arial"/>
          <w:b w:val="0"/>
          <w:sz w:val="20"/>
        </w:rPr>
      </w:pPr>
      <w:r w:rsidRPr="003F5713">
        <w:rPr>
          <w:rFonts w:ascii="Arial" w:hAnsi="Arial" w:cs="Arial"/>
          <w:b w:val="0"/>
          <w:sz w:val="20"/>
        </w:rPr>
        <w:t xml:space="preserve">TIPO DE PRODUCTO:  </w:t>
      </w:r>
      <w:r w:rsidRPr="003F5713">
        <w:rPr>
          <w:rFonts w:ascii="Arial" w:hAnsi="Arial" w:cs="Arial"/>
          <w:b w:val="0"/>
          <w:bCs/>
          <w:sz w:val="20"/>
          <w:u w:val="single"/>
        </w:rPr>
        <w:fldChar w:fldCharType="begin">
          <w:ffData>
            <w:name w:val=""/>
            <w:enabled/>
            <w:calcOnExit w:val="0"/>
            <w:textInput>
              <w:type w:val="number"/>
              <w:maxLength w:val="8"/>
              <w:format w:val="#.##0"/>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MS Mincho" w:eastAsia="MS Mincho" w:hAnsi="MS Mincho" w:cs="MS Mincho" w:hint="eastAsia"/>
          <w:b w:val="0"/>
          <w:bCs/>
          <w:noProof/>
          <w:sz w:val="20"/>
          <w:u w:val="single"/>
        </w:rPr>
        <w:t> </w:t>
      </w:r>
      <w:r w:rsidRPr="003F5713">
        <w:rPr>
          <w:rFonts w:ascii="Arial" w:hAnsi="Arial" w:cs="Arial"/>
          <w:b w:val="0"/>
          <w:bCs/>
          <w:sz w:val="20"/>
          <w:u w:val="single"/>
        </w:rPr>
        <w:fldChar w:fldCharType="end"/>
      </w:r>
      <w:r w:rsidRPr="003F5713">
        <w:rPr>
          <w:rFonts w:ascii="Arial" w:hAnsi="Arial" w:cs="Arial"/>
          <w:b w:val="0"/>
          <w:sz w:val="20"/>
        </w:rPr>
        <w:t xml:space="preserve"> </w:t>
      </w:r>
      <w:r w:rsidRPr="00A314EB">
        <w:rPr>
          <w:rFonts w:ascii="Arial" w:hAnsi="Arial" w:cs="Arial"/>
          <w:b w:val="0"/>
          <w:color w:val="EE0000"/>
          <w:sz w:val="20"/>
        </w:rPr>
        <w:t>kg</w:t>
      </w:r>
      <w:r>
        <w:rPr>
          <w:rFonts w:ascii="Arial" w:hAnsi="Arial" w:cs="Arial"/>
          <w:b w:val="0"/>
          <w:color w:val="EE0000"/>
          <w:sz w:val="20"/>
        </w:rPr>
        <w:t xml:space="preserve"> </w:t>
      </w:r>
      <w:r w:rsidRPr="00A314EB">
        <w:rPr>
          <w:rFonts w:ascii="Arial" w:hAnsi="Arial" w:cs="Arial"/>
          <w:b w:val="0"/>
          <w:color w:val="EE0000"/>
          <w:sz w:val="20"/>
        </w:rPr>
        <w:t>/</w:t>
      </w:r>
      <w:r>
        <w:rPr>
          <w:rFonts w:ascii="Arial" w:hAnsi="Arial" w:cs="Arial"/>
          <w:b w:val="0"/>
          <w:color w:val="EE0000"/>
          <w:sz w:val="20"/>
        </w:rPr>
        <w:t xml:space="preserve"> </w:t>
      </w:r>
      <w:r w:rsidRPr="00A314EB">
        <w:rPr>
          <w:rFonts w:ascii="Arial" w:hAnsi="Arial" w:cs="Arial"/>
          <w:b w:val="0"/>
          <w:color w:val="EE0000"/>
          <w:sz w:val="20"/>
        </w:rPr>
        <w:t>toneladas</w:t>
      </w:r>
      <w:r>
        <w:rPr>
          <w:rFonts w:ascii="Arial" w:hAnsi="Arial" w:cs="Arial"/>
          <w:b w:val="0"/>
          <w:color w:val="EE0000"/>
          <w:sz w:val="20"/>
        </w:rPr>
        <w:t xml:space="preserve"> </w:t>
      </w:r>
      <w:r w:rsidRPr="00A314EB">
        <w:rPr>
          <w:rFonts w:ascii="Arial" w:hAnsi="Arial" w:cs="Arial"/>
          <w:b w:val="0"/>
          <w:color w:val="EE0000"/>
          <w:sz w:val="20"/>
        </w:rPr>
        <w:t>/</w:t>
      </w:r>
      <w:r>
        <w:rPr>
          <w:rFonts w:ascii="Arial" w:hAnsi="Arial" w:cs="Arial"/>
          <w:b w:val="0"/>
          <w:color w:val="EE0000"/>
          <w:sz w:val="20"/>
        </w:rPr>
        <w:t xml:space="preserve"> </w:t>
      </w:r>
      <w:r w:rsidRPr="00A314EB">
        <w:rPr>
          <w:rFonts w:ascii="Arial" w:hAnsi="Arial" w:cs="Arial"/>
          <w:b w:val="0"/>
          <w:color w:val="EE0000"/>
          <w:sz w:val="20"/>
        </w:rPr>
        <w:t>m</w:t>
      </w:r>
      <w:r w:rsidRPr="00A314EB">
        <w:rPr>
          <w:rFonts w:ascii="Arial" w:hAnsi="Arial" w:cs="Arial"/>
          <w:b w:val="0"/>
          <w:color w:val="EE0000"/>
          <w:sz w:val="20"/>
          <w:vertAlign w:val="superscript"/>
        </w:rPr>
        <w:t>3</w:t>
      </w:r>
      <w:r w:rsidRPr="003F5713">
        <w:rPr>
          <w:rFonts w:ascii="Arial" w:hAnsi="Arial" w:cs="Arial"/>
          <w:b w:val="0"/>
          <w:sz w:val="20"/>
        </w:rPr>
        <w:t xml:space="preserve">  </w:t>
      </w:r>
      <w:r w:rsidRPr="00A314EB">
        <w:rPr>
          <w:rFonts w:ascii="Arial" w:hAnsi="Arial" w:cs="Arial"/>
          <w:b w:val="0"/>
          <w:color w:val="EE0000"/>
          <w:sz w:val="20"/>
        </w:rPr>
        <w:t xml:space="preserve"> </w:t>
      </w:r>
      <w:r w:rsidRPr="003F5713">
        <w:rPr>
          <w:rFonts w:ascii="Arial" w:hAnsi="Arial" w:cs="Arial"/>
          <w:b w:val="0"/>
          <w:sz w:val="20"/>
        </w:rPr>
        <w:t xml:space="preserve">DIA:    </w:t>
      </w:r>
      <w:r w:rsidRPr="003F5713">
        <w:rPr>
          <w:rFonts w:ascii="Arial" w:hAnsi="Arial" w:cs="Arial"/>
          <w:b w:val="0"/>
          <w:bCs/>
          <w:sz w:val="20"/>
          <w:u w:val="single"/>
        </w:rPr>
        <w:fldChar w:fldCharType="begin">
          <w:ffData>
            <w:name w:val=""/>
            <w:enabled/>
            <w:calcOnExit w:val="0"/>
            <w:textInput>
              <w:type w:val="date"/>
              <w:format w:val="dd/MM/yyyy"/>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sz w:val="20"/>
          <w:u w:val="single"/>
        </w:rPr>
        <w:fldChar w:fldCharType="end"/>
      </w:r>
      <w:r w:rsidRPr="003F5713">
        <w:rPr>
          <w:rFonts w:ascii="Arial" w:hAnsi="Arial" w:cs="Arial"/>
          <w:b w:val="0"/>
          <w:sz w:val="20"/>
        </w:rPr>
        <w:t xml:space="preserve">    HORA INICIO</w:t>
      </w:r>
      <w:r>
        <w:rPr>
          <w:rFonts w:ascii="Arial" w:hAnsi="Arial" w:cs="Arial"/>
          <w:b w:val="0"/>
          <w:sz w:val="20"/>
        </w:rPr>
        <w:t>/FINALIZACIÓN</w:t>
      </w:r>
      <w:r w:rsidRPr="003F5713">
        <w:rPr>
          <w:rFonts w:ascii="Arial" w:hAnsi="Arial" w:cs="Arial"/>
          <w:b w:val="0"/>
          <w:sz w:val="20"/>
        </w:rPr>
        <w:t xml:space="preserve">:  </w:t>
      </w:r>
      <w:r w:rsidRPr="003F5713">
        <w:rPr>
          <w:rFonts w:ascii="Arial" w:hAnsi="Arial" w:cs="Arial"/>
          <w:b w:val="0"/>
          <w:bCs/>
          <w:sz w:val="20"/>
          <w:u w:val="single"/>
        </w:rPr>
        <w:fldChar w:fldCharType="begin">
          <w:ffData>
            <w:name w:val=""/>
            <w:enabled/>
            <w:calcOnExit w:val="0"/>
            <w:textInput>
              <w:maxLength w:val="5"/>
            </w:textInput>
          </w:ffData>
        </w:fldChar>
      </w:r>
      <w:r w:rsidRPr="003F5713">
        <w:rPr>
          <w:rFonts w:ascii="Arial" w:hAnsi="Arial" w:cs="Arial"/>
          <w:b w:val="0"/>
          <w:bCs/>
          <w:sz w:val="20"/>
          <w:u w:val="single"/>
        </w:rPr>
        <w:instrText xml:space="preserve"> FORMTEXT </w:instrText>
      </w:r>
      <w:r w:rsidRPr="003F5713">
        <w:rPr>
          <w:rFonts w:ascii="Arial" w:hAnsi="Arial" w:cs="Arial"/>
          <w:b w:val="0"/>
          <w:bCs/>
          <w:sz w:val="20"/>
          <w:u w:val="single"/>
        </w:rPr>
      </w:r>
      <w:r w:rsidRPr="003F5713">
        <w:rPr>
          <w:rFonts w:ascii="Arial" w:hAnsi="Arial" w:cs="Arial"/>
          <w:b w:val="0"/>
          <w:bCs/>
          <w:sz w:val="20"/>
          <w:u w:val="single"/>
        </w:rPr>
        <w:fldChar w:fldCharType="separate"/>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noProof/>
          <w:sz w:val="20"/>
          <w:u w:val="single"/>
        </w:rPr>
        <w:t> </w:t>
      </w:r>
      <w:r w:rsidRPr="003F5713">
        <w:rPr>
          <w:rFonts w:ascii="Arial" w:hAnsi="Arial" w:cs="Arial"/>
          <w:b w:val="0"/>
          <w:bCs/>
          <w:sz w:val="20"/>
          <w:u w:val="single"/>
        </w:rPr>
        <w:fldChar w:fldCharType="end"/>
      </w:r>
      <w:r w:rsidRPr="003F5713">
        <w:rPr>
          <w:rFonts w:ascii="Arial" w:hAnsi="Arial" w:cs="Arial"/>
          <w:b w:val="0"/>
          <w:sz w:val="20"/>
        </w:rPr>
        <w:t xml:space="preserve">    </w:t>
      </w:r>
    </w:p>
    <w:p w14:paraId="6031B779" w14:textId="77777777" w:rsidR="001C5F3C" w:rsidRPr="00AF59B8" w:rsidRDefault="001C5F3C" w:rsidP="001C5F3C">
      <w:pPr>
        <w:ind w:right="-285"/>
        <w:rPr>
          <w:sz w:val="10"/>
          <w:szCs w:val="10"/>
        </w:rPr>
      </w:pPr>
    </w:p>
    <w:p w14:paraId="6E58810F" w14:textId="77777777" w:rsidR="001C5F3C" w:rsidRPr="00AF59B8" w:rsidRDefault="001C5F3C" w:rsidP="001C5F3C">
      <w:pPr>
        <w:pStyle w:val="Ttulocaptulo"/>
        <w:spacing w:line="288" w:lineRule="auto"/>
        <w:ind w:right="-284"/>
        <w:rPr>
          <w:rFonts w:ascii="Arial" w:hAnsi="Arial" w:cs="Arial"/>
          <w:sz w:val="20"/>
          <w:u w:val="single"/>
        </w:rPr>
      </w:pPr>
      <w:r w:rsidRPr="00AF59B8">
        <w:rPr>
          <w:rFonts w:ascii="Arial" w:hAnsi="Arial" w:cs="Arial"/>
          <w:sz w:val="20"/>
          <w:u w:val="single"/>
        </w:rPr>
        <w:t xml:space="preserve">ORIGEN DEL PRODUCTO: </w:t>
      </w:r>
    </w:p>
    <w:p w14:paraId="545C1010" w14:textId="77777777" w:rsidR="001C5F3C" w:rsidRPr="00AF59B8" w:rsidRDefault="001C5F3C" w:rsidP="001C5F3C">
      <w:pPr>
        <w:pStyle w:val="sangrado2"/>
        <w:shd w:val="clear" w:color="auto" w:fill="FFFFFF"/>
        <w:spacing w:before="20" w:beforeAutospacing="0" w:after="20" w:afterAutospacing="0" w:line="288" w:lineRule="auto"/>
        <w:ind w:left="540" w:right="-284" w:hanging="540"/>
        <w:jc w:val="both"/>
        <w:rPr>
          <w:rFonts w:ascii="Arial" w:hAnsi="Arial" w:cs="Arial"/>
        </w:rPr>
      </w:pPr>
      <w:r w:rsidRPr="00AF59B8">
        <w:rPr>
          <w:rFonts w:ascii="Arial" w:hAnsi="Arial" w:cs="Arial"/>
          <w:b/>
          <w:bCs/>
        </w:rPr>
        <w:fldChar w:fldCharType="begin">
          <w:ffData>
            <w:name w:val="Casilla11"/>
            <w:enabled/>
            <w:calcOnExit w:val="0"/>
            <w:checkBox>
              <w:sizeAuto/>
              <w:default w:val="0"/>
            </w:checkBox>
          </w:ffData>
        </w:fldChar>
      </w:r>
      <w:r w:rsidRPr="00AF59B8">
        <w:rPr>
          <w:rFonts w:ascii="Arial" w:hAnsi="Arial" w:cs="Arial"/>
          <w:b/>
          <w:bCs/>
        </w:rPr>
        <w:instrText xml:space="preserve"> FORMCHECKBOX </w:instrText>
      </w:r>
      <w:r w:rsidRPr="00AF59B8">
        <w:rPr>
          <w:rFonts w:ascii="Arial" w:hAnsi="Arial" w:cs="Arial"/>
          <w:b/>
          <w:bCs/>
        </w:rPr>
      </w:r>
      <w:r w:rsidRPr="00AF59B8">
        <w:rPr>
          <w:rFonts w:ascii="Arial" w:hAnsi="Arial" w:cs="Arial"/>
          <w:b/>
          <w:bCs/>
        </w:rPr>
        <w:fldChar w:fldCharType="separate"/>
      </w:r>
      <w:r w:rsidRPr="00AF59B8">
        <w:rPr>
          <w:rFonts w:ascii="Arial" w:hAnsi="Arial" w:cs="Arial"/>
          <w:b/>
          <w:bCs/>
        </w:rPr>
        <w:fldChar w:fldCharType="end"/>
      </w:r>
      <w:r w:rsidRPr="00AF59B8">
        <w:rPr>
          <w:rFonts w:ascii="Arial" w:hAnsi="Arial" w:cs="Arial"/>
        </w:rPr>
        <w:t xml:space="preserve">    </w:t>
      </w:r>
      <w:r w:rsidRPr="00AF59B8">
        <w:rPr>
          <w:rFonts w:ascii="Arial" w:hAnsi="Arial" w:cs="Arial"/>
          <w:sz w:val="20"/>
          <w:szCs w:val="20"/>
        </w:rPr>
        <w:t>Instalación Portuaria</w:t>
      </w:r>
    </w:p>
    <w:p w14:paraId="6AE11A24" w14:textId="77777777" w:rsidR="001C5F3C" w:rsidRPr="003F5713" w:rsidRDefault="001C5F3C" w:rsidP="001C5F3C">
      <w:pPr>
        <w:pStyle w:val="sangrado"/>
        <w:shd w:val="clear" w:color="auto" w:fill="FFFFFF"/>
        <w:spacing w:before="20" w:beforeAutospacing="0" w:after="20" w:afterAutospacing="0" w:line="288" w:lineRule="auto"/>
        <w:ind w:left="540" w:right="-284" w:hanging="540"/>
        <w:jc w:val="both"/>
        <w:rPr>
          <w:rFonts w:ascii="Arial" w:hAnsi="Arial" w:cs="Arial"/>
          <w:bCs/>
          <w:i/>
          <w:sz w:val="16"/>
          <w:szCs w:val="16"/>
        </w:rPr>
      </w:pPr>
      <w:r w:rsidRPr="00AF59B8">
        <w:rPr>
          <w:rFonts w:ascii="Arial" w:hAnsi="Arial" w:cs="Arial"/>
          <w:b/>
          <w:bCs/>
        </w:rPr>
        <w:fldChar w:fldCharType="begin">
          <w:ffData>
            <w:name w:val="Casilla3"/>
            <w:enabled/>
            <w:calcOnExit w:val="0"/>
            <w:checkBox>
              <w:sizeAuto/>
              <w:default w:val="0"/>
            </w:checkBox>
          </w:ffData>
        </w:fldChar>
      </w:r>
      <w:r w:rsidRPr="00AF59B8">
        <w:rPr>
          <w:rFonts w:ascii="Arial" w:hAnsi="Arial" w:cs="Arial"/>
          <w:b/>
          <w:bCs/>
        </w:rPr>
        <w:instrText xml:space="preserve"> FORMCHECKBOX </w:instrText>
      </w:r>
      <w:r w:rsidRPr="00AF59B8">
        <w:rPr>
          <w:rFonts w:ascii="Arial" w:hAnsi="Arial" w:cs="Arial"/>
          <w:b/>
          <w:bCs/>
        </w:rPr>
      </w:r>
      <w:r w:rsidRPr="00AF59B8">
        <w:rPr>
          <w:rFonts w:ascii="Arial" w:hAnsi="Arial" w:cs="Arial"/>
          <w:b/>
          <w:bCs/>
        </w:rPr>
        <w:fldChar w:fldCharType="separate"/>
      </w:r>
      <w:r w:rsidRPr="00AF59B8">
        <w:rPr>
          <w:rFonts w:ascii="Arial" w:hAnsi="Arial" w:cs="Arial"/>
          <w:b/>
          <w:bCs/>
        </w:rPr>
        <w:fldChar w:fldCharType="end"/>
      </w:r>
      <w:r w:rsidRPr="00AF59B8">
        <w:rPr>
          <w:rFonts w:ascii="Arial" w:hAnsi="Arial" w:cs="Arial"/>
          <w:sz w:val="28"/>
          <w:szCs w:val="28"/>
        </w:rPr>
        <w:t xml:space="preserve"> </w:t>
      </w:r>
      <w:r w:rsidRPr="00AF59B8">
        <w:rPr>
          <w:rFonts w:ascii="Arial" w:hAnsi="Arial" w:cs="Arial"/>
          <w:sz w:val="20"/>
          <w:szCs w:val="20"/>
        </w:rPr>
        <w:t xml:space="preserve">   </w:t>
      </w:r>
      <w:r w:rsidRPr="00AF59B8">
        <w:rPr>
          <w:rFonts w:ascii="Arial" w:hAnsi="Arial" w:cs="Arial"/>
          <w:bCs/>
          <w:sz w:val="20"/>
          <w:szCs w:val="20"/>
        </w:rPr>
        <w:t xml:space="preserve">Otras instalaciones. (Externas al Puerto).      </w:t>
      </w:r>
    </w:p>
    <w:p w14:paraId="58B4B93C" w14:textId="77777777" w:rsidR="001C5F3C" w:rsidRDefault="001C5F3C" w:rsidP="001C5F3C">
      <w:pPr>
        <w:pStyle w:val="sangrado"/>
        <w:shd w:val="clear" w:color="auto" w:fill="FFFFFF"/>
        <w:spacing w:before="20" w:beforeAutospacing="0" w:after="20" w:afterAutospacing="0"/>
        <w:ind w:left="0" w:right="-285"/>
        <w:jc w:val="both"/>
        <w:rPr>
          <w:rFonts w:ascii="Arial" w:hAnsi="Arial" w:cs="Arial"/>
          <w:sz w:val="20"/>
          <w:szCs w:val="20"/>
        </w:rPr>
      </w:pPr>
      <w:r w:rsidRPr="00AF59B8">
        <w:rPr>
          <w:rFonts w:ascii="Arial" w:hAnsi="Arial" w:cs="Arial"/>
          <w:sz w:val="20"/>
          <w:szCs w:val="20"/>
        </w:rPr>
        <w:t>La presente solicitud implica la aceptación, por parte del suministrador, del abono de las correspondientes Tasas y Tarifas portuarias.</w:t>
      </w:r>
    </w:p>
    <w:p w14:paraId="28330AD7" w14:textId="77777777" w:rsidR="001C5F3C" w:rsidRPr="003F5713" w:rsidRDefault="001C5F3C" w:rsidP="001C5F3C">
      <w:pPr>
        <w:pStyle w:val="sangrado"/>
        <w:shd w:val="clear" w:color="auto" w:fill="FFFFFF"/>
        <w:spacing w:before="20" w:beforeAutospacing="0" w:after="20" w:afterAutospacing="0"/>
        <w:ind w:left="0" w:right="-285"/>
        <w:jc w:val="both"/>
        <w:rPr>
          <w:rFonts w:ascii="Arial" w:hAnsi="Arial" w:cs="Arial"/>
          <w:sz w:val="10"/>
          <w:szCs w:val="10"/>
        </w:rPr>
      </w:pPr>
    </w:p>
    <w:p w14:paraId="49339DFE" w14:textId="77777777" w:rsidR="001C5F3C" w:rsidRPr="00AF59B8" w:rsidRDefault="001C5F3C" w:rsidP="001C5F3C">
      <w:pPr>
        <w:pStyle w:val="sangrado"/>
        <w:shd w:val="clear" w:color="auto" w:fill="FFFFFF"/>
        <w:spacing w:before="20" w:beforeAutospacing="0" w:after="20" w:afterAutospacing="0"/>
        <w:ind w:left="540" w:right="99" w:hanging="540"/>
        <w:jc w:val="center"/>
        <w:rPr>
          <w:rFonts w:ascii="Arial" w:hAnsi="Arial" w:cs="Arial"/>
          <w:sz w:val="20"/>
          <w:szCs w:val="20"/>
        </w:rPr>
      </w:pPr>
      <w:r w:rsidRPr="00AF59B8">
        <w:rPr>
          <w:rFonts w:ascii="Arial" w:hAnsi="Arial" w:cs="Arial"/>
          <w:sz w:val="20"/>
          <w:szCs w:val="20"/>
        </w:rPr>
        <w:t>VEHÍCULOS QUE REALIZARÁN EL SUMINISTRO:</w:t>
      </w:r>
    </w:p>
    <w:tbl>
      <w:tblPr>
        <w:tblW w:w="7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750"/>
        <w:gridCol w:w="1722"/>
        <w:gridCol w:w="2072"/>
      </w:tblGrid>
      <w:tr w:rsidR="001C5F3C" w:rsidRPr="002B68AA" w14:paraId="7DD0B074" w14:textId="77777777" w:rsidTr="00053F77">
        <w:trPr>
          <w:jc w:val="center"/>
        </w:trPr>
        <w:tc>
          <w:tcPr>
            <w:tcW w:w="1519" w:type="dxa"/>
          </w:tcPr>
          <w:p w14:paraId="5C40E27A" w14:textId="77777777" w:rsidR="001C5F3C" w:rsidRPr="002B68AA" w:rsidRDefault="001C5F3C" w:rsidP="00053F77">
            <w:pPr>
              <w:pStyle w:val="sangrado"/>
              <w:spacing w:before="20" w:beforeAutospacing="0" w:after="20" w:afterAutospacing="0"/>
              <w:ind w:left="0" w:right="99"/>
              <w:jc w:val="center"/>
              <w:rPr>
                <w:rFonts w:ascii="Arial" w:hAnsi="Arial" w:cs="Arial"/>
                <w:b/>
                <w:sz w:val="18"/>
                <w:szCs w:val="18"/>
              </w:rPr>
            </w:pPr>
            <w:r w:rsidRPr="002B68AA">
              <w:rPr>
                <w:rFonts w:ascii="Arial" w:hAnsi="Arial" w:cs="Arial"/>
                <w:b/>
                <w:sz w:val="18"/>
                <w:szCs w:val="18"/>
              </w:rPr>
              <w:t>Mat. Tractor</w:t>
            </w:r>
          </w:p>
        </w:tc>
        <w:tc>
          <w:tcPr>
            <w:tcW w:w="1750" w:type="dxa"/>
          </w:tcPr>
          <w:p w14:paraId="403D4DEB" w14:textId="77777777" w:rsidR="001C5F3C" w:rsidRPr="002B68AA" w:rsidRDefault="001C5F3C" w:rsidP="00053F77">
            <w:pPr>
              <w:pStyle w:val="sangrado"/>
              <w:spacing w:before="20" w:beforeAutospacing="0" w:after="20" w:afterAutospacing="0"/>
              <w:ind w:left="0" w:right="99"/>
              <w:jc w:val="center"/>
              <w:rPr>
                <w:rFonts w:ascii="Arial" w:hAnsi="Arial" w:cs="Arial"/>
                <w:b/>
                <w:sz w:val="18"/>
                <w:szCs w:val="18"/>
              </w:rPr>
            </w:pPr>
            <w:r w:rsidRPr="002B68AA">
              <w:rPr>
                <w:rFonts w:ascii="Arial" w:hAnsi="Arial" w:cs="Arial"/>
                <w:b/>
                <w:sz w:val="18"/>
                <w:szCs w:val="18"/>
              </w:rPr>
              <w:t>Mat. Cisterna</w:t>
            </w:r>
          </w:p>
        </w:tc>
        <w:tc>
          <w:tcPr>
            <w:tcW w:w="1722" w:type="dxa"/>
            <w:tcBorders>
              <w:right w:val="single" w:sz="4" w:space="0" w:color="auto"/>
            </w:tcBorders>
          </w:tcPr>
          <w:p w14:paraId="0AE303EB" w14:textId="77777777" w:rsidR="001C5F3C" w:rsidRPr="006D6631" w:rsidRDefault="001C5F3C" w:rsidP="00053F77">
            <w:pPr>
              <w:pStyle w:val="sangrado"/>
              <w:spacing w:before="20" w:beforeAutospacing="0" w:after="20" w:afterAutospacing="0"/>
              <w:ind w:left="0" w:right="99"/>
              <w:jc w:val="center"/>
              <w:rPr>
                <w:rFonts w:ascii="Arial" w:hAnsi="Arial" w:cs="Arial"/>
                <w:b/>
                <w:sz w:val="18"/>
                <w:szCs w:val="18"/>
              </w:rPr>
            </w:pPr>
            <w:r>
              <w:rPr>
                <w:rFonts w:ascii="Arial" w:hAnsi="Arial" w:cs="Arial"/>
                <w:b/>
                <w:sz w:val="18"/>
                <w:szCs w:val="18"/>
              </w:rPr>
              <w:t>M</w:t>
            </w:r>
            <w:r>
              <w:rPr>
                <w:rFonts w:ascii="Arial" w:hAnsi="Arial" w:cs="Arial"/>
                <w:b/>
                <w:sz w:val="18"/>
                <w:szCs w:val="18"/>
                <w:vertAlign w:val="superscript"/>
              </w:rPr>
              <w:t>3</w:t>
            </w:r>
          </w:p>
        </w:tc>
        <w:tc>
          <w:tcPr>
            <w:tcW w:w="2072" w:type="dxa"/>
            <w:tcBorders>
              <w:right w:val="single" w:sz="4" w:space="0" w:color="auto"/>
            </w:tcBorders>
          </w:tcPr>
          <w:p w14:paraId="421A1627" w14:textId="77777777" w:rsidR="001C5F3C" w:rsidRPr="002B68AA" w:rsidRDefault="001C5F3C" w:rsidP="00053F77">
            <w:pPr>
              <w:pStyle w:val="sangrado"/>
              <w:spacing w:before="20" w:beforeAutospacing="0" w:after="20" w:afterAutospacing="0"/>
              <w:ind w:left="0" w:right="99"/>
              <w:jc w:val="center"/>
              <w:rPr>
                <w:rFonts w:ascii="Arial" w:hAnsi="Arial" w:cs="Arial"/>
                <w:b/>
                <w:sz w:val="18"/>
                <w:szCs w:val="18"/>
              </w:rPr>
            </w:pPr>
            <w:r w:rsidRPr="002B68AA">
              <w:rPr>
                <w:rFonts w:ascii="Arial" w:hAnsi="Arial" w:cs="Arial"/>
                <w:b/>
                <w:sz w:val="18"/>
                <w:szCs w:val="18"/>
              </w:rPr>
              <w:t>Nombre del conductor</w:t>
            </w:r>
          </w:p>
        </w:tc>
      </w:tr>
      <w:tr w:rsidR="001C5F3C" w:rsidRPr="002B68AA" w14:paraId="6E91F04B" w14:textId="77777777" w:rsidTr="00053F77">
        <w:trPr>
          <w:jc w:val="center"/>
        </w:trPr>
        <w:tc>
          <w:tcPr>
            <w:tcW w:w="1519" w:type="dxa"/>
          </w:tcPr>
          <w:p w14:paraId="4A0E4D9F"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maxLength w:val="10"/>
                    <w:format w:val="UPPERCASE"/>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sz w:val="20"/>
                <w:szCs w:val="20"/>
              </w:rPr>
              <w:fldChar w:fldCharType="end"/>
            </w:r>
          </w:p>
        </w:tc>
        <w:tc>
          <w:tcPr>
            <w:tcW w:w="1750" w:type="dxa"/>
          </w:tcPr>
          <w:p w14:paraId="21C4B3CA"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maxLength w:val="10"/>
                    <w:format w:val="UPPERCASE"/>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Arial" w:hAnsi="Arial" w:cs="Arial"/>
                <w:bCs/>
                <w:sz w:val="20"/>
                <w:szCs w:val="20"/>
              </w:rPr>
              <w:fldChar w:fldCharType="end"/>
            </w:r>
          </w:p>
        </w:tc>
        <w:tc>
          <w:tcPr>
            <w:tcW w:w="1722" w:type="dxa"/>
            <w:tcBorders>
              <w:right w:val="single" w:sz="4" w:space="0" w:color="auto"/>
            </w:tcBorders>
          </w:tcPr>
          <w:p w14:paraId="12321CDC"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type w:val="number"/>
                    <w:maxLength w:val="6"/>
                    <w:format w:val="#.##0"/>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noProof/>
                <w:sz w:val="20"/>
                <w:szCs w:val="20"/>
              </w:rPr>
              <w:t> </w:t>
            </w:r>
            <w:r w:rsidRPr="002B68AA">
              <w:rPr>
                <w:rFonts w:ascii="Arial" w:hAnsi="Arial" w:cs="Arial"/>
                <w:bCs/>
                <w:sz w:val="20"/>
                <w:szCs w:val="20"/>
              </w:rPr>
              <w:fldChar w:fldCharType="end"/>
            </w:r>
          </w:p>
        </w:tc>
        <w:tc>
          <w:tcPr>
            <w:tcW w:w="2072" w:type="dxa"/>
            <w:tcBorders>
              <w:right w:val="single" w:sz="4" w:space="0" w:color="auto"/>
            </w:tcBorders>
          </w:tcPr>
          <w:p w14:paraId="2789DA8C"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p>
        </w:tc>
      </w:tr>
      <w:tr w:rsidR="001C5F3C" w:rsidRPr="002B68AA" w14:paraId="5A4431C9" w14:textId="77777777" w:rsidTr="00053F77">
        <w:trPr>
          <w:jc w:val="center"/>
        </w:trPr>
        <w:tc>
          <w:tcPr>
            <w:tcW w:w="1519" w:type="dxa"/>
          </w:tcPr>
          <w:p w14:paraId="6FBC595D"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maxLength w:val="10"/>
                    <w:format w:val="UPPERCASE"/>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Arial" w:hAnsi="Arial" w:cs="Arial"/>
                <w:bCs/>
                <w:sz w:val="20"/>
                <w:szCs w:val="20"/>
              </w:rPr>
              <w:fldChar w:fldCharType="end"/>
            </w:r>
          </w:p>
        </w:tc>
        <w:tc>
          <w:tcPr>
            <w:tcW w:w="1750" w:type="dxa"/>
          </w:tcPr>
          <w:p w14:paraId="27BD492F"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maxLength w:val="10"/>
                    <w:format w:val="UPPERCASE"/>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Arial" w:hAnsi="Arial" w:cs="Arial"/>
                <w:bCs/>
                <w:sz w:val="20"/>
                <w:szCs w:val="20"/>
              </w:rPr>
              <w:fldChar w:fldCharType="end"/>
            </w:r>
          </w:p>
        </w:tc>
        <w:tc>
          <w:tcPr>
            <w:tcW w:w="1722" w:type="dxa"/>
            <w:tcBorders>
              <w:right w:val="single" w:sz="4" w:space="0" w:color="auto"/>
            </w:tcBorders>
          </w:tcPr>
          <w:p w14:paraId="23AD686B"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type w:val="number"/>
                    <w:maxLength w:val="6"/>
                    <w:format w:val="#.##0"/>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Arial" w:hAnsi="Arial" w:cs="Arial"/>
                <w:bCs/>
                <w:sz w:val="20"/>
                <w:szCs w:val="20"/>
              </w:rPr>
              <w:fldChar w:fldCharType="end"/>
            </w:r>
          </w:p>
        </w:tc>
        <w:tc>
          <w:tcPr>
            <w:tcW w:w="2072" w:type="dxa"/>
            <w:tcBorders>
              <w:right w:val="single" w:sz="4" w:space="0" w:color="auto"/>
            </w:tcBorders>
          </w:tcPr>
          <w:p w14:paraId="4E8B8A44"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p>
        </w:tc>
      </w:tr>
      <w:tr w:rsidR="001C5F3C" w:rsidRPr="002B68AA" w14:paraId="2434195C" w14:textId="77777777" w:rsidTr="00053F77">
        <w:trPr>
          <w:trHeight w:val="374"/>
          <w:jc w:val="center"/>
        </w:trPr>
        <w:tc>
          <w:tcPr>
            <w:tcW w:w="7063" w:type="dxa"/>
            <w:gridSpan w:val="4"/>
            <w:tcBorders>
              <w:left w:val="nil"/>
              <w:right w:val="nil"/>
            </w:tcBorders>
          </w:tcPr>
          <w:p w14:paraId="0536D91E" w14:textId="77777777" w:rsidR="001C5F3C" w:rsidRPr="002B68AA" w:rsidRDefault="001C5F3C" w:rsidP="00053F77">
            <w:pPr>
              <w:pStyle w:val="sangrado"/>
              <w:spacing w:before="20" w:after="20"/>
              <w:ind w:left="0" w:right="99"/>
              <w:jc w:val="both"/>
              <w:rPr>
                <w:rFonts w:ascii="Arial" w:hAnsi="Arial" w:cs="Arial"/>
                <w:sz w:val="20"/>
                <w:szCs w:val="20"/>
              </w:rPr>
            </w:pPr>
          </w:p>
        </w:tc>
      </w:tr>
      <w:tr w:rsidR="001C5F3C" w:rsidRPr="002B68AA" w14:paraId="48594C30" w14:textId="77777777" w:rsidTr="00053F77">
        <w:trPr>
          <w:trHeight w:val="500"/>
          <w:jc w:val="center"/>
        </w:trPr>
        <w:tc>
          <w:tcPr>
            <w:tcW w:w="1519" w:type="dxa"/>
            <w:vMerge w:val="restart"/>
          </w:tcPr>
          <w:p w14:paraId="7DBDA081"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t>Matricula vehículo auxiliar</w:t>
            </w:r>
          </w:p>
        </w:tc>
        <w:tc>
          <w:tcPr>
            <w:tcW w:w="1750" w:type="dxa"/>
            <w:vMerge w:val="restart"/>
          </w:tcPr>
          <w:p w14:paraId="6EC37D01"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r w:rsidRPr="002B68AA">
              <w:rPr>
                <w:rFonts w:ascii="Arial" w:hAnsi="Arial" w:cs="Arial"/>
                <w:bCs/>
                <w:sz w:val="20"/>
                <w:szCs w:val="20"/>
              </w:rPr>
              <w:fldChar w:fldCharType="begin">
                <w:ffData>
                  <w:name w:val=""/>
                  <w:enabled/>
                  <w:calcOnExit w:val="0"/>
                  <w:textInput>
                    <w:maxLength w:val="10"/>
                    <w:format w:val="UPPERCASE"/>
                  </w:textInput>
                </w:ffData>
              </w:fldChar>
            </w:r>
            <w:r w:rsidRPr="002B68AA">
              <w:rPr>
                <w:rFonts w:ascii="Arial" w:hAnsi="Arial" w:cs="Arial"/>
                <w:bCs/>
                <w:sz w:val="20"/>
                <w:szCs w:val="20"/>
              </w:rPr>
              <w:instrText xml:space="preserve"> FORMTEXT </w:instrText>
            </w:r>
            <w:r w:rsidRPr="002B68AA">
              <w:rPr>
                <w:rFonts w:ascii="Arial" w:hAnsi="Arial" w:cs="Arial"/>
                <w:bCs/>
                <w:sz w:val="20"/>
                <w:szCs w:val="20"/>
              </w:rPr>
            </w:r>
            <w:r w:rsidRPr="002B68AA">
              <w:rPr>
                <w:rFonts w:ascii="Arial" w:hAnsi="Arial" w:cs="Arial"/>
                <w:bCs/>
                <w:sz w:val="20"/>
                <w:szCs w:val="20"/>
              </w:rPr>
              <w:fldChar w:fldCharType="separate"/>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MS Mincho" w:eastAsia="MS Mincho" w:hAnsi="MS Mincho" w:cs="MS Mincho" w:hint="eastAsia"/>
                <w:bCs/>
                <w:noProof/>
                <w:sz w:val="20"/>
                <w:szCs w:val="20"/>
              </w:rPr>
              <w:t> </w:t>
            </w:r>
            <w:r w:rsidRPr="002B68AA">
              <w:rPr>
                <w:rFonts w:ascii="Arial" w:hAnsi="Arial" w:cs="Arial"/>
                <w:bCs/>
                <w:sz w:val="20"/>
                <w:szCs w:val="20"/>
              </w:rPr>
              <w:fldChar w:fldCharType="end"/>
            </w:r>
          </w:p>
        </w:tc>
        <w:tc>
          <w:tcPr>
            <w:tcW w:w="1722" w:type="dxa"/>
            <w:tcBorders>
              <w:right w:val="single" w:sz="4" w:space="0" w:color="auto"/>
            </w:tcBorders>
          </w:tcPr>
          <w:p w14:paraId="5C9F9136" w14:textId="77777777" w:rsidR="001C5F3C" w:rsidRPr="002B68AA" w:rsidRDefault="001C5F3C" w:rsidP="00053F77">
            <w:pPr>
              <w:pStyle w:val="sangrado"/>
              <w:spacing w:before="20" w:after="20"/>
              <w:ind w:left="0" w:right="99"/>
              <w:rPr>
                <w:rFonts w:ascii="Arial" w:hAnsi="Arial" w:cs="Arial"/>
                <w:sz w:val="20"/>
                <w:szCs w:val="20"/>
              </w:rPr>
            </w:pPr>
            <w:r w:rsidRPr="002B68AA">
              <w:rPr>
                <w:rFonts w:ascii="Arial" w:hAnsi="Arial" w:cs="Arial"/>
                <w:bCs/>
                <w:sz w:val="20"/>
                <w:szCs w:val="20"/>
              </w:rPr>
              <w:t xml:space="preserve">Nombre Técnico </w:t>
            </w:r>
          </w:p>
        </w:tc>
        <w:tc>
          <w:tcPr>
            <w:tcW w:w="2072" w:type="dxa"/>
            <w:tcBorders>
              <w:right w:val="single" w:sz="4" w:space="0" w:color="auto"/>
            </w:tcBorders>
          </w:tcPr>
          <w:p w14:paraId="7092BC93"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p>
        </w:tc>
      </w:tr>
      <w:tr w:rsidR="001C5F3C" w:rsidRPr="002B68AA" w14:paraId="20424FC4" w14:textId="77777777" w:rsidTr="00053F77">
        <w:trPr>
          <w:trHeight w:val="460"/>
          <w:jc w:val="center"/>
        </w:trPr>
        <w:tc>
          <w:tcPr>
            <w:tcW w:w="1519" w:type="dxa"/>
            <w:vMerge/>
          </w:tcPr>
          <w:p w14:paraId="24CC9FC9" w14:textId="77777777" w:rsidR="001C5F3C" w:rsidRPr="002B68AA" w:rsidRDefault="001C5F3C" w:rsidP="00053F77">
            <w:pPr>
              <w:pStyle w:val="sangrado"/>
              <w:spacing w:before="20" w:beforeAutospacing="0" w:after="20" w:afterAutospacing="0"/>
              <w:ind w:left="0" w:right="99"/>
              <w:jc w:val="both"/>
              <w:rPr>
                <w:rFonts w:ascii="Arial" w:hAnsi="Arial" w:cs="Arial"/>
                <w:bCs/>
                <w:sz w:val="20"/>
                <w:szCs w:val="20"/>
              </w:rPr>
            </w:pPr>
          </w:p>
        </w:tc>
        <w:tc>
          <w:tcPr>
            <w:tcW w:w="1750" w:type="dxa"/>
            <w:vMerge/>
          </w:tcPr>
          <w:p w14:paraId="591AAD65" w14:textId="77777777" w:rsidR="001C5F3C" w:rsidRPr="002B68AA" w:rsidRDefault="001C5F3C" w:rsidP="00053F77">
            <w:pPr>
              <w:pStyle w:val="sangrado"/>
              <w:spacing w:before="20" w:beforeAutospacing="0" w:after="20" w:afterAutospacing="0"/>
              <w:ind w:left="0" w:right="99"/>
              <w:jc w:val="both"/>
              <w:rPr>
                <w:rFonts w:ascii="Arial" w:hAnsi="Arial" w:cs="Arial"/>
                <w:bCs/>
                <w:sz w:val="20"/>
                <w:szCs w:val="20"/>
              </w:rPr>
            </w:pPr>
          </w:p>
        </w:tc>
        <w:tc>
          <w:tcPr>
            <w:tcW w:w="1722" w:type="dxa"/>
            <w:tcBorders>
              <w:right w:val="single" w:sz="4" w:space="0" w:color="auto"/>
            </w:tcBorders>
          </w:tcPr>
          <w:p w14:paraId="6F7AF18D" w14:textId="77777777" w:rsidR="001C5F3C" w:rsidRPr="002B68AA" w:rsidRDefault="001C5F3C" w:rsidP="00053F77">
            <w:pPr>
              <w:pStyle w:val="sangrado"/>
              <w:spacing w:before="20" w:after="20"/>
              <w:ind w:left="0" w:right="99"/>
              <w:rPr>
                <w:rFonts w:ascii="Arial" w:hAnsi="Arial" w:cs="Arial"/>
                <w:bCs/>
                <w:sz w:val="20"/>
                <w:szCs w:val="20"/>
              </w:rPr>
            </w:pPr>
            <w:r w:rsidRPr="002B68AA">
              <w:rPr>
                <w:rFonts w:ascii="Arial" w:hAnsi="Arial" w:cs="Arial"/>
                <w:bCs/>
                <w:sz w:val="20"/>
                <w:szCs w:val="20"/>
              </w:rPr>
              <w:t>Teléfono técnico</w:t>
            </w:r>
          </w:p>
        </w:tc>
        <w:tc>
          <w:tcPr>
            <w:tcW w:w="2072" w:type="dxa"/>
            <w:tcBorders>
              <w:right w:val="single" w:sz="4" w:space="0" w:color="auto"/>
            </w:tcBorders>
          </w:tcPr>
          <w:p w14:paraId="5A91A3B5" w14:textId="77777777" w:rsidR="001C5F3C" w:rsidRPr="002B68AA" w:rsidRDefault="001C5F3C" w:rsidP="00053F77">
            <w:pPr>
              <w:pStyle w:val="sangrado"/>
              <w:spacing w:before="20" w:beforeAutospacing="0" w:after="20" w:afterAutospacing="0"/>
              <w:ind w:left="0" w:right="99"/>
              <w:jc w:val="both"/>
              <w:rPr>
                <w:rFonts w:ascii="Arial" w:hAnsi="Arial" w:cs="Arial"/>
                <w:sz w:val="20"/>
                <w:szCs w:val="20"/>
              </w:rPr>
            </w:pPr>
          </w:p>
        </w:tc>
      </w:tr>
    </w:tbl>
    <w:p w14:paraId="2AFAD318" w14:textId="77777777" w:rsidR="001C5F3C" w:rsidRDefault="001C5F3C" w:rsidP="001C5F3C">
      <w:pPr>
        <w:pStyle w:val="sangrado2"/>
        <w:shd w:val="clear" w:color="auto" w:fill="FFFFFF"/>
        <w:spacing w:before="20" w:beforeAutospacing="0" w:after="20" w:afterAutospacing="0" w:line="288" w:lineRule="auto"/>
        <w:ind w:right="-284"/>
        <w:jc w:val="both"/>
        <w:rPr>
          <w:rFonts w:ascii="Arial" w:hAnsi="Arial" w:cs="Arial"/>
          <w:b/>
          <w:bCs/>
        </w:rPr>
      </w:pPr>
    </w:p>
    <w:tbl>
      <w:tblPr>
        <w:tblStyle w:val="Tablaconcuadrcula"/>
        <w:tblW w:w="1077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6"/>
        <w:gridCol w:w="3397"/>
      </w:tblGrid>
      <w:tr w:rsidR="001C5F3C" w14:paraId="77BA7D15" w14:textId="77777777" w:rsidTr="00053F77">
        <w:tc>
          <w:tcPr>
            <w:tcW w:w="7376" w:type="dxa"/>
          </w:tcPr>
          <w:p w14:paraId="7380FEBB" w14:textId="77777777" w:rsidR="001C5F3C" w:rsidRPr="00955C7C" w:rsidRDefault="001C5F3C" w:rsidP="00053F77">
            <w:pPr>
              <w:pStyle w:val="sangrado2"/>
              <w:shd w:val="clear" w:color="auto" w:fill="FFFFFF"/>
              <w:spacing w:before="20" w:beforeAutospacing="0" w:after="20" w:afterAutospacing="0" w:line="288" w:lineRule="auto"/>
              <w:ind w:left="540" w:right="-284" w:hanging="540"/>
              <w:jc w:val="both"/>
              <w:rPr>
                <w:rFonts w:ascii="Arial" w:hAnsi="Arial" w:cs="Arial"/>
                <w:sz w:val="22"/>
                <w:szCs w:val="22"/>
              </w:rPr>
            </w:pPr>
            <w:r w:rsidRPr="00955C7C">
              <w:rPr>
                <w:rFonts w:ascii="Arial" w:hAnsi="Arial" w:cs="Arial"/>
                <w:b/>
                <w:bCs/>
                <w:sz w:val="22"/>
                <w:szCs w:val="22"/>
              </w:rPr>
              <w:fldChar w:fldCharType="begin">
                <w:ffData>
                  <w:name w:val="Casilla11"/>
                  <w:enabled/>
                  <w:calcOnExit w:val="0"/>
                  <w:checkBox>
                    <w:sizeAuto/>
                    <w:default w:val="0"/>
                  </w:checkBox>
                </w:ffData>
              </w:fldChar>
            </w:r>
            <w:r w:rsidRPr="00955C7C">
              <w:rPr>
                <w:rFonts w:ascii="Arial" w:hAnsi="Arial" w:cs="Arial"/>
                <w:b/>
                <w:bCs/>
                <w:sz w:val="22"/>
                <w:szCs w:val="22"/>
              </w:rPr>
              <w:instrText xml:space="preserve"> FORMCHECKBOX </w:instrText>
            </w:r>
            <w:r w:rsidRPr="00955C7C">
              <w:rPr>
                <w:rFonts w:ascii="Arial" w:hAnsi="Arial" w:cs="Arial"/>
                <w:b/>
                <w:bCs/>
                <w:sz w:val="22"/>
                <w:szCs w:val="22"/>
              </w:rPr>
            </w:r>
            <w:r w:rsidRPr="00955C7C">
              <w:rPr>
                <w:rFonts w:ascii="Arial" w:hAnsi="Arial" w:cs="Arial"/>
                <w:b/>
                <w:bCs/>
                <w:sz w:val="22"/>
                <w:szCs w:val="22"/>
              </w:rPr>
              <w:fldChar w:fldCharType="separate"/>
            </w:r>
            <w:r w:rsidRPr="00955C7C">
              <w:rPr>
                <w:rFonts w:ascii="Arial" w:hAnsi="Arial" w:cs="Arial"/>
                <w:b/>
                <w:bCs/>
                <w:sz w:val="22"/>
                <w:szCs w:val="22"/>
              </w:rPr>
              <w:fldChar w:fldCharType="end"/>
            </w:r>
            <w:r w:rsidRPr="00955C7C">
              <w:rPr>
                <w:rFonts w:ascii="Arial" w:hAnsi="Arial" w:cs="Arial"/>
                <w:sz w:val="22"/>
                <w:szCs w:val="22"/>
              </w:rPr>
              <w:t xml:space="preserve">    </w:t>
            </w:r>
            <w:r w:rsidRPr="00955C7C">
              <w:rPr>
                <w:rFonts w:ascii="Arial" w:hAnsi="Arial" w:cs="Arial"/>
                <w:sz w:val="18"/>
                <w:szCs w:val="18"/>
              </w:rPr>
              <w:t>SE AUTORIZA EL SUMINISTRO.</w:t>
            </w:r>
          </w:p>
          <w:p w14:paraId="36B942EC" w14:textId="77777777" w:rsidR="001C5F3C" w:rsidRPr="00955C7C" w:rsidRDefault="001C5F3C" w:rsidP="00053F77">
            <w:pPr>
              <w:pStyle w:val="sangrado"/>
              <w:shd w:val="clear" w:color="auto" w:fill="FFFFFF"/>
              <w:spacing w:before="20" w:beforeAutospacing="0" w:after="20" w:afterAutospacing="0" w:line="288" w:lineRule="auto"/>
              <w:ind w:left="540" w:right="-284" w:hanging="540"/>
              <w:jc w:val="both"/>
              <w:rPr>
                <w:rFonts w:ascii="Arial" w:hAnsi="Arial" w:cs="Arial"/>
                <w:bCs/>
                <w:sz w:val="18"/>
                <w:szCs w:val="18"/>
              </w:rPr>
            </w:pPr>
            <w:r w:rsidRPr="00955C7C">
              <w:rPr>
                <w:rFonts w:ascii="Arial" w:hAnsi="Arial" w:cs="Arial"/>
                <w:b/>
                <w:bCs/>
                <w:sz w:val="22"/>
                <w:szCs w:val="22"/>
              </w:rPr>
              <w:fldChar w:fldCharType="begin">
                <w:ffData>
                  <w:name w:val="Casilla3"/>
                  <w:enabled/>
                  <w:calcOnExit w:val="0"/>
                  <w:checkBox>
                    <w:sizeAuto/>
                    <w:default w:val="0"/>
                  </w:checkBox>
                </w:ffData>
              </w:fldChar>
            </w:r>
            <w:r w:rsidRPr="00955C7C">
              <w:rPr>
                <w:rFonts w:ascii="Arial" w:hAnsi="Arial" w:cs="Arial"/>
                <w:b/>
                <w:bCs/>
                <w:sz w:val="22"/>
                <w:szCs w:val="22"/>
              </w:rPr>
              <w:instrText xml:space="preserve"> FORMCHECKBOX </w:instrText>
            </w:r>
            <w:r w:rsidRPr="00955C7C">
              <w:rPr>
                <w:rFonts w:ascii="Arial" w:hAnsi="Arial" w:cs="Arial"/>
                <w:b/>
                <w:bCs/>
                <w:sz w:val="22"/>
                <w:szCs w:val="22"/>
              </w:rPr>
            </w:r>
            <w:r w:rsidRPr="00955C7C">
              <w:rPr>
                <w:rFonts w:ascii="Arial" w:hAnsi="Arial" w:cs="Arial"/>
                <w:b/>
                <w:bCs/>
                <w:sz w:val="22"/>
                <w:szCs w:val="22"/>
              </w:rPr>
              <w:fldChar w:fldCharType="separate"/>
            </w:r>
            <w:r w:rsidRPr="00955C7C">
              <w:rPr>
                <w:rFonts w:ascii="Arial" w:hAnsi="Arial" w:cs="Arial"/>
                <w:b/>
                <w:bCs/>
                <w:sz w:val="22"/>
                <w:szCs w:val="22"/>
              </w:rPr>
              <w:fldChar w:fldCharType="end"/>
            </w:r>
            <w:r w:rsidRPr="00955C7C">
              <w:rPr>
                <w:rFonts w:ascii="Arial" w:hAnsi="Arial" w:cs="Arial"/>
              </w:rPr>
              <w:t xml:space="preserve"> </w:t>
            </w:r>
            <w:r w:rsidRPr="00955C7C">
              <w:rPr>
                <w:rFonts w:ascii="Arial" w:hAnsi="Arial" w:cs="Arial"/>
                <w:sz w:val="18"/>
                <w:szCs w:val="18"/>
              </w:rPr>
              <w:t xml:space="preserve">   </w:t>
            </w:r>
            <w:r w:rsidRPr="00955C7C">
              <w:rPr>
                <w:rFonts w:ascii="Arial" w:hAnsi="Arial" w:cs="Arial"/>
                <w:bCs/>
                <w:sz w:val="18"/>
                <w:szCs w:val="18"/>
              </w:rPr>
              <w:t>NO SE AUTORIZA EL SUMINISTRO.</w:t>
            </w:r>
          </w:p>
          <w:p w14:paraId="7C491C4A" w14:textId="77777777" w:rsidR="001C5F3C" w:rsidRPr="00955C7C" w:rsidRDefault="001C5F3C" w:rsidP="00053F77">
            <w:pPr>
              <w:pStyle w:val="sangrado"/>
              <w:shd w:val="clear" w:color="auto" w:fill="FFFFFF"/>
              <w:spacing w:before="20" w:beforeAutospacing="0" w:after="20" w:afterAutospacing="0" w:line="288" w:lineRule="auto"/>
              <w:ind w:left="540" w:right="-284" w:hanging="540"/>
              <w:jc w:val="both"/>
              <w:rPr>
                <w:rFonts w:ascii="Arial" w:hAnsi="Arial" w:cs="Arial"/>
                <w:bCs/>
                <w:sz w:val="18"/>
                <w:szCs w:val="18"/>
              </w:rPr>
            </w:pPr>
            <w:r w:rsidRPr="00955C7C">
              <w:rPr>
                <w:rFonts w:ascii="Arial" w:hAnsi="Arial" w:cs="Arial"/>
                <w:b/>
                <w:bCs/>
                <w:sz w:val="22"/>
                <w:szCs w:val="22"/>
              </w:rPr>
              <w:fldChar w:fldCharType="begin">
                <w:ffData>
                  <w:name w:val="Casilla3"/>
                  <w:enabled/>
                  <w:calcOnExit w:val="0"/>
                  <w:checkBox>
                    <w:sizeAuto/>
                    <w:default w:val="0"/>
                  </w:checkBox>
                </w:ffData>
              </w:fldChar>
            </w:r>
            <w:r w:rsidRPr="00955C7C">
              <w:rPr>
                <w:rFonts w:ascii="Arial" w:hAnsi="Arial" w:cs="Arial"/>
                <w:b/>
                <w:bCs/>
                <w:sz w:val="22"/>
                <w:szCs w:val="22"/>
              </w:rPr>
              <w:instrText xml:space="preserve"> FORMCHECKBOX </w:instrText>
            </w:r>
            <w:r w:rsidRPr="00955C7C">
              <w:rPr>
                <w:rFonts w:ascii="Arial" w:hAnsi="Arial" w:cs="Arial"/>
                <w:b/>
                <w:bCs/>
                <w:sz w:val="22"/>
                <w:szCs w:val="22"/>
              </w:rPr>
            </w:r>
            <w:r w:rsidRPr="00955C7C">
              <w:rPr>
                <w:rFonts w:ascii="Arial" w:hAnsi="Arial" w:cs="Arial"/>
                <w:b/>
                <w:bCs/>
                <w:sz w:val="22"/>
                <w:szCs w:val="22"/>
              </w:rPr>
              <w:fldChar w:fldCharType="separate"/>
            </w:r>
            <w:r w:rsidRPr="00955C7C">
              <w:rPr>
                <w:rFonts w:ascii="Arial" w:hAnsi="Arial" w:cs="Arial"/>
                <w:b/>
                <w:bCs/>
                <w:sz w:val="22"/>
                <w:szCs w:val="22"/>
              </w:rPr>
              <w:fldChar w:fldCharType="end"/>
            </w:r>
            <w:r w:rsidRPr="00955C7C">
              <w:rPr>
                <w:rFonts w:ascii="Arial" w:hAnsi="Arial" w:cs="Arial"/>
              </w:rPr>
              <w:t xml:space="preserve"> </w:t>
            </w:r>
            <w:r w:rsidRPr="00955C7C">
              <w:rPr>
                <w:rFonts w:ascii="Arial" w:hAnsi="Arial" w:cs="Arial"/>
                <w:sz w:val="18"/>
                <w:szCs w:val="18"/>
              </w:rPr>
              <w:t xml:space="preserve"> </w:t>
            </w:r>
            <w:r>
              <w:rPr>
                <w:rFonts w:ascii="Arial" w:hAnsi="Arial" w:cs="Arial"/>
                <w:sz w:val="18"/>
                <w:szCs w:val="18"/>
              </w:rPr>
              <w:t xml:space="preserve">  </w:t>
            </w:r>
            <w:r w:rsidRPr="00955C7C">
              <w:rPr>
                <w:rFonts w:ascii="Arial" w:hAnsi="Arial" w:cs="Arial"/>
                <w:bCs/>
                <w:sz w:val="18"/>
                <w:szCs w:val="18"/>
              </w:rPr>
              <w:t>SE AUTORIZA EL SUMINISTRO SUJETO A LAS SIGUIENTES CONDICIONES:</w:t>
            </w:r>
          </w:p>
          <w:p w14:paraId="1BCF4ACE" w14:textId="77777777" w:rsidR="001C5F3C" w:rsidRPr="00955C7C" w:rsidRDefault="001C5F3C" w:rsidP="00053F77">
            <w:pPr>
              <w:pStyle w:val="sangrado"/>
              <w:shd w:val="clear" w:color="auto" w:fill="FFFFFF"/>
              <w:spacing w:before="20" w:beforeAutospacing="0" w:after="20" w:afterAutospacing="0" w:line="288" w:lineRule="auto"/>
              <w:ind w:left="540" w:right="-284" w:hanging="540"/>
              <w:jc w:val="both"/>
              <w:rPr>
                <w:rFonts w:ascii="Arial" w:hAnsi="Arial" w:cs="Arial"/>
                <w:b/>
                <w:bCs/>
                <w:u w:val="single"/>
              </w:rPr>
            </w:pPr>
            <w:r>
              <w:rPr>
                <w:rFonts w:ascii="Arial" w:hAnsi="Arial" w:cs="Arial"/>
                <w:bCs/>
                <w:sz w:val="20"/>
                <w:szCs w:val="20"/>
              </w:rPr>
              <w:tab/>
            </w:r>
            <w:r w:rsidRPr="00955C7C">
              <w:rPr>
                <w:rFonts w:ascii="Arial" w:hAnsi="Arial" w:cs="Arial"/>
                <w:b/>
                <w:bCs/>
                <w:sz w:val="20"/>
                <w:szCs w:val="20"/>
                <w:u w:val="single"/>
              </w:rPr>
              <w:fldChar w:fldCharType="begin">
                <w:ffData>
                  <w:name w:val="Texto19"/>
                  <w:enabled/>
                  <w:calcOnExit w:val="0"/>
                  <w:textInput>
                    <w:format w:val="UPPERCASE"/>
                  </w:textInput>
                </w:ffData>
              </w:fldChar>
            </w:r>
            <w:r w:rsidRPr="00955C7C">
              <w:rPr>
                <w:rFonts w:ascii="Arial" w:hAnsi="Arial" w:cs="Arial"/>
                <w:bCs/>
                <w:sz w:val="20"/>
                <w:szCs w:val="20"/>
                <w:u w:val="single"/>
              </w:rPr>
              <w:instrText xml:space="preserve"> FORMTEXT </w:instrText>
            </w:r>
            <w:r w:rsidRPr="00955C7C">
              <w:rPr>
                <w:rFonts w:ascii="Arial" w:hAnsi="Arial" w:cs="Arial"/>
                <w:b/>
                <w:bCs/>
                <w:sz w:val="20"/>
                <w:szCs w:val="20"/>
                <w:u w:val="single"/>
              </w:rPr>
            </w:r>
            <w:r w:rsidRPr="00955C7C">
              <w:rPr>
                <w:rFonts w:ascii="Arial" w:hAnsi="Arial" w:cs="Arial"/>
                <w:b/>
                <w:bCs/>
                <w:sz w:val="20"/>
                <w:szCs w:val="20"/>
                <w:u w:val="single"/>
              </w:rPr>
              <w:fldChar w:fldCharType="separate"/>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xml:space="preserve">                                                                                                 </w:t>
            </w:r>
            <w:r w:rsidRPr="00955C7C">
              <w:rPr>
                <w:rFonts w:ascii="Arial" w:hAnsi="Arial" w:cs="Arial"/>
                <w:bCs/>
                <w:noProof/>
                <w:sz w:val="20"/>
                <w:szCs w:val="20"/>
                <w:u w:val="single"/>
              </w:rPr>
              <w:t> </w:t>
            </w:r>
            <w:r w:rsidRPr="00955C7C">
              <w:rPr>
                <w:rFonts w:ascii="Arial" w:hAnsi="Arial" w:cs="Arial"/>
                <w:b/>
                <w:bCs/>
                <w:sz w:val="20"/>
                <w:szCs w:val="20"/>
                <w:u w:val="single"/>
              </w:rPr>
              <w:fldChar w:fldCharType="end"/>
            </w:r>
            <w:r w:rsidRPr="00955C7C">
              <w:rPr>
                <w:rFonts w:ascii="Arial" w:hAnsi="Arial" w:cs="Arial"/>
                <w:b/>
                <w:bCs/>
                <w:u w:val="single"/>
              </w:rPr>
              <w:t xml:space="preserve"> </w:t>
            </w:r>
          </w:p>
          <w:p w14:paraId="7A75877D" w14:textId="77777777" w:rsidR="001C5F3C" w:rsidRPr="00955C7C" w:rsidRDefault="001C5F3C" w:rsidP="00053F77">
            <w:pPr>
              <w:pStyle w:val="sangrado"/>
              <w:shd w:val="clear" w:color="auto" w:fill="FFFFFF"/>
              <w:spacing w:before="20" w:beforeAutospacing="0" w:after="20" w:afterAutospacing="0" w:line="288" w:lineRule="auto"/>
              <w:ind w:left="540" w:right="-284"/>
              <w:jc w:val="both"/>
              <w:rPr>
                <w:rFonts w:ascii="Arial" w:hAnsi="Arial" w:cs="Arial"/>
                <w:b/>
                <w:bCs/>
                <w:sz w:val="20"/>
                <w:szCs w:val="20"/>
                <w:u w:val="single"/>
              </w:rPr>
            </w:pPr>
            <w:r w:rsidRPr="00955C7C">
              <w:rPr>
                <w:rFonts w:ascii="Arial" w:hAnsi="Arial" w:cs="Arial"/>
                <w:b/>
                <w:bCs/>
                <w:sz w:val="20"/>
                <w:szCs w:val="20"/>
                <w:u w:val="single"/>
              </w:rPr>
              <w:fldChar w:fldCharType="begin">
                <w:ffData>
                  <w:name w:val="Texto19"/>
                  <w:enabled/>
                  <w:calcOnExit w:val="0"/>
                  <w:textInput>
                    <w:format w:val="UPPERCASE"/>
                  </w:textInput>
                </w:ffData>
              </w:fldChar>
            </w:r>
            <w:r w:rsidRPr="00955C7C">
              <w:rPr>
                <w:rFonts w:ascii="Arial" w:hAnsi="Arial" w:cs="Arial"/>
                <w:bCs/>
                <w:sz w:val="20"/>
                <w:szCs w:val="20"/>
                <w:u w:val="single"/>
              </w:rPr>
              <w:instrText xml:space="preserve"> FORMTEXT </w:instrText>
            </w:r>
            <w:r w:rsidRPr="00955C7C">
              <w:rPr>
                <w:rFonts w:ascii="Arial" w:hAnsi="Arial" w:cs="Arial"/>
                <w:b/>
                <w:bCs/>
                <w:sz w:val="20"/>
                <w:szCs w:val="20"/>
                <w:u w:val="single"/>
              </w:rPr>
            </w:r>
            <w:r w:rsidRPr="00955C7C">
              <w:rPr>
                <w:rFonts w:ascii="Arial" w:hAnsi="Arial" w:cs="Arial"/>
                <w:b/>
                <w:bCs/>
                <w:sz w:val="20"/>
                <w:szCs w:val="20"/>
                <w:u w:val="single"/>
              </w:rPr>
              <w:fldChar w:fldCharType="separate"/>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xml:space="preserve">                                                                                                 </w:t>
            </w:r>
            <w:r w:rsidRPr="00955C7C">
              <w:rPr>
                <w:rFonts w:ascii="Arial" w:hAnsi="Arial" w:cs="Arial"/>
                <w:bCs/>
                <w:noProof/>
                <w:sz w:val="20"/>
                <w:szCs w:val="20"/>
                <w:u w:val="single"/>
              </w:rPr>
              <w:t> </w:t>
            </w:r>
            <w:r w:rsidRPr="00955C7C">
              <w:rPr>
                <w:rFonts w:ascii="Arial" w:hAnsi="Arial" w:cs="Arial"/>
                <w:b/>
                <w:bCs/>
                <w:sz w:val="20"/>
                <w:szCs w:val="20"/>
                <w:u w:val="single"/>
              </w:rPr>
              <w:fldChar w:fldCharType="end"/>
            </w:r>
          </w:p>
          <w:p w14:paraId="09DBD1A1" w14:textId="77777777" w:rsidR="001C5F3C" w:rsidRPr="00955C7C" w:rsidRDefault="001C5F3C" w:rsidP="00053F77">
            <w:pPr>
              <w:pStyle w:val="sangrado"/>
              <w:shd w:val="clear" w:color="auto" w:fill="FFFFFF"/>
              <w:spacing w:before="20" w:beforeAutospacing="0" w:after="20" w:afterAutospacing="0" w:line="288" w:lineRule="auto"/>
              <w:ind w:left="540" w:right="-284"/>
              <w:jc w:val="both"/>
              <w:rPr>
                <w:rFonts w:ascii="Arial" w:hAnsi="Arial" w:cs="Arial"/>
                <w:b/>
                <w:bCs/>
                <w:sz w:val="20"/>
                <w:szCs w:val="20"/>
                <w:u w:val="single"/>
              </w:rPr>
            </w:pPr>
            <w:r w:rsidRPr="00955C7C">
              <w:rPr>
                <w:rFonts w:ascii="Arial" w:hAnsi="Arial" w:cs="Arial"/>
                <w:b/>
                <w:bCs/>
                <w:sz w:val="20"/>
                <w:szCs w:val="20"/>
                <w:u w:val="single"/>
              </w:rPr>
              <w:fldChar w:fldCharType="begin">
                <w:ffData>
                  <w:name w:val="Texto19"/>
                  <w:enabled/>
                  <w:calcOnExit w:val="0"/>
                  <w:textInput>
                    <w:format w:val="UPPERCASE"/>
                  </w:textInput>
                </w:ffData>
              </w:fldChar>
            </w:r>
            <w:r w:rsidRPr="00955C7C">
              <w:rPr>
                <w:rFonts w:ascii="Arial" w:hAnsi="Arial" w:cs="Arial"/>
                <w:bCs/>
                <w:sz w:val="20"/>
                <w:szCs w:val="20"/>
                <w:u w:val="single"/>
              </w:rPr>
              <w:instrText xml:space="preserve"> FORMTEXT </w:instrText>
            </w:r>
            <w:r w:rsidRPr="00955C7C">
              <w:rPr>
                <w:rFonts w:ascii="Arial" w:hAnsi="Arial" w:cs="Arial"/>
                <w:b/>
                <w:bCs/>
                <w:sz w:val="20"/>
                <w:szCs w:val="20"/>
                <w:u w:val="single"/>
              </w:rPr>
            </w:r>
            <w:r w:rsidRPr="00955C7C">
              <w:rPr>
                <w:rFonts w:ascii="Arial" w:hAnsi="Arial" w:cs="Arial"/>
                <w:b/>
                <w:bCs/>
                <w:sz w:val="20"/>
                <w:szCs w:val="20"/>
                <w:u w:val="single"/>
              </w:rPr>
              <w:fldChar w:fldCharType="separate"/>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xml:space="preserve">                                                                                                 </w:t>
            </w:r>
            <w:r w:rsidRPr="00955C7C">
              <w:rPr>
                <w:rFonts w:ascii="Arial" w:hAnsi="Arial" w:cs="Arial"/>
                <w:bCs/>
                <w:noProof/>
                <w:sz w:val="20"/>
                <w:szCs w:val="20"/>
                <w:u w:val="single"/>
              </w:rPr>
              <w:t> </w:t>
            </w:r>
            <w:r w:rsidRPr="00955C7C">
              <w:rPr>
                <w:rFonts w:ascii="Arial" w:hAnsi="Arial" w:cs="Arial"/>
                <w:b/>
                <w:bCs/>
                <w:sz w:val="20"/>
                <w:szCs w:val="20"/>
                <w:u w:val="single"/>
              </w:rPr>
              <w:fldChar w:fldCharType="end"/>
            </w:r>
          </w:p>
          <w:p w14:paraId="5105D3D8" w14:textId="77777777" w:rsidR="001C5F3C" w:rsidRPr="00955C7C" w:rsidRDefault="001C5F3C" w:rsidP="00053F77">
            <w:pPr>
              <w:pStyle w:val="sangrado"/>
              <w:shd w:val="clear" w:color="auto" w:fill="FFFFFF"/>
              <w:spacing w:before="20" w:beforeAutospacing="0" w:after="20" w:afterAutospacing="0" w:line="288" w:lineRule="auto"/>
              <w:ind w:left="540" w:right="-284"/>
              <w:jc w:val="both"/>
              <w:rPr>
                <w:rFonts w:ascii="Arial" w:hAnsi="Arial" w:cs="Arial"/>
                <w:bCs/>
                <w:sz w:val="16"/>
                <w:szCs w:val="16"/>
              </w:rPr>
            </w:pPr>
            <w:r w:rsidRPr="00955C7C">
              <w:rPr>
                <w:rFonts w:ascii="Arial" w:hAnsi="Arial" w:cs="Arial"/>
                <w:b/>
                <w:bCs/>
                <w:sz w:val="20"/>
                <w:szCs w:val="20"/>
                <w:u w:val="single"/>
              </w:rPr>
              <w:fldChar w:fldCharType="begin">
                <w:ffData>
                  <w:name w:val="Texto19"/>
                  <w:enabled/>
                  <w:calcOnExit w:val="0"/>
                  <w:textInput>
                    <w:format w:val="UPPERCASE"/>
                  </w:textInput>
                </w:ffData>
              </w:fldChar>
            </w:r>
            <w:r w:rsidRPr="00955C7C">
              <w:rPr>
                <w:rFonts w:ascii="Arial" w:hAnsi="Arial" w:cs="Arial"/>
                <w:bCs/>
                <w:sz w:val="20"/>
                <w:szCs w:val="20"/>
                <w:u w:val="single"/>
              </w:rPr>
              <w:instrText xml:space="preserve"> FORMTEXT </w:instrText>
            </w:r>
            <w:r w:rsidRPr="00955C7C">
              <w:rPr>
                <w:rFonts w:ascii="Arial" w:hAnsi="Arial" w:cs="Arial"/>
                <w:b/>
                <w:bCs/>
                <w:sz w:val="20"/>
                <w:szCs w:val="20"/>
                <w:u w:val="single"/>
              </w:rPr>
            </w:r>
            <w:r w:rsidRPr="00955C7C">
              <w:rPr>
                <w:rFonts w:ascii="Arial" w:hAnsi="Arial" w:cs="Arial"/>
                <w:b/>
                <w:bCs/>
                <w:sz w:val="20"/>
                <w:szCs w:val="20"/>
                <w:u w:val="single"/>
              </w:rPr>
              <w:fldChar w:fldCharType="separate"/>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w:t>
            </w:r>
            <w:r w:rsidRPr="00955C7C">
              <w:rPr>
                <w:rFonts w:ascii="Arial" w:hAnsi="Arial" w:cs="Arial"/>
                <w:bCs/>
                <w:noProof/>
                <w:sz w:val="20"/>
                <w:szCs w:val="20"/>
                <w:u w:val="single"/>
              </w:rPr>
              <w:t xml:space="preserve">                                                                                                 </w:t>
            </w:r>
            <w:r w:rsidRPr="00955C7C">
              <w:rPr>
                <w:rFonts w:ascii="Arial" w:hAnsi="Arial" w:cs="Arial"/>
                <w:bCs/>
                <w:noProof/>
                <w:sz w:val="20"/>
                <w:szCs w:val="20"/>
                <w:u w:val="single"/>
              </w:rPr>
              <w:t> </w:t>
            </w:r>
            <w:r w:rsidRPr="00955C7C">
              <w:rPr>
                <w:rFonts w:ascii="Arial" w:hAnsi="Arial" w:cs="Arial"/>
                <w:b/>
                <w:bCs/>
                <w:sz w:val="20"/>
                <w:szCs w:val="20"/>
                <w:u w:val="single"/>
              </w:rPr>
              <w:fldChar w:fldCharType="end"/>
            </w:r>
          </w:p>
        </w:tc>
        <w:tc>
          <w:tcPr>
            <w:tcW w:w="3397" w:type="dxa"/>
          </w:tcPr>
          <w:p w14:paraId="679CF4CF" w14:textId="77777777" w:rsidR="001C5F3C" w:rsidRDefault="001C5F3C" w:rsidP="00053F77">
            <w:pPr>
              <w:pStyle w:val="sangrado"/>
              <w:shd w:val="clear" w:color="auto" w:fill="FFFFFF"/>
              <w:spacing w:before="20" w:beforeAutospacing="0" w:after="20" w:afterAutospacing="0"/>
              <w:ind w:left="0" w:right="99"/>
              <w:rPr>
                <w:rFonts w:ascii="Arial" w:hAnsi="Arial" w:cs="Arial"/>
                <w:b/>
                <w:sz w:val="20"/>
                <w:szCs w:val="20"/>
              </w:rPr>
            </w:pPr>
            <w:r w:rsidRPr="005D2949">
              <w:rPr>
                <w:rFonts w:ascii="Arial" w:hAnsi="Arial" w:cs="Arial"/>
                <w:b/>
                <w:sz w:val="20"/>
                <w:szCs w:val="20"/>
              </w:rPr>
              <w:t xml:space="preserve">Por la empresa </w:t>
            </w:r>
            <w:r>
              <w:rPr>
                <w:rFonts w:ascii="Arial" w:hAnsi="Arial" w:cs="Arial"/>
                <w:b/>
                <w:sz w:val="20"/>
                <w:szCs w:val="20"/>
              </w:rPr>
              <w:t>transportista</w:t>
            </w:r>
            <w:r w:rsidRPr="005D2949">
              <w:rPr>
                <w:rFonts w:ascii="Arial" w:hAnsi="Arial" w:cs="Arial"/>
                <w:b/>
                <w:sz w:val="20"/>
                <w:szCs w:val="20"/>
              </w:rPr>
              <w:t>:</w:t>
            </w:r>
          </w:p>
          <w:p w14:paraId="0B68A642" w14:textId="77777777" w:rsidR="001C5F3C" w:rsidRDefault="001C5F3C" w:rsidP="00053F77">
            <w:pPr>
              <w:pStyle w:val="sangrado"/>
              <w:shd w:val="clear" w:color="auto" w:fill="FFFFFF"/>
              <w:spacing w:before="20" w:beforeAutospacing="0" w:after="20" w:afterAutospacing="0"/>
              <w:ind w:left="0" w:right="99"/>
              <w:rPr>
                <w:rFonts w:ascii="Arial" w:hAnsi="Arial" w:cs="Arial"/>
                <w:sz w:val="20"/>
                <w:szCs w:val="20"/>
              </w:rPr>
            </w:pPr>
          </w:p>
          <w:p w14:paraId="48BEEB85" w14:textId="77777777" w:rsidR="001C5F3C" w:rsidRDefault="001C5F3C" w:rsidP="00053F77">
            <w:pPr>
              <w:pStyle w:val="sangrado"/>
              <w:shd w:val="clear" w:color="auto" w:fill="FFFFFF"/>
              <w:spacing w:before="20" w:beforeAutospacing="0" w:after="20" w:afterAutospacing="0"/>
              <w:ind w:left="0" w:right="99"/>
              <w:rPr>
                <w:rFonts w:ascii="Arial" w:hAnsi="Arial" w:cs="Arial"/>
                <w:b/>
                <w:sz w:val="20"/>
                <w:szCs w:val="20"/>
              </w:rPr>
            </w:pPr>
            <w:r>
              <w:rPr>
                <w:rFonts w:ascii="Arial" w:hAnsi="Arial" w:cs="Arial"/>
                <w:sz w:val="20"/>
                <w:szCs w:val="20"/>
              </w:rPr>
              <w:t xml:space="preserve">        Fdo: </w:t>
            </w:r>
            <w:r>
              <w:rPr>
                <w:rFonts w:ascii="Arial" w:hAnsi="Arial" w:cs="Arial"/>
                <w:b/>
                <w:bCs/>
                <w:color w:val="800000"/>
                <w:sz w:val="20"/>
                <w:szCs w:val="20"/>
                <w:u w:val="single"/>
              </w:rPr>
              <w:fldChar w:fldCharType="begin">
                <w:ffData>
                  <w:name w:val=""/>
                  <w:enabled/>
                  <w:calcOnExit w:val="0"/>
                  <w:textInput>
                    <w:format w:val="UPPERCASE"/>
                  </w:textInput>
                </w:ffData>
              </w:fldChar>
            </w:r>
            <w:r>
              <w:rPr>
                <w:rFonts w:ascii="Arial" w:hAnsi="Arial" w:cs="Arial"/>
                <w:b/>
                <w:bCs/>
                <w:color w:val="800000"/>
                <w:sz w:val="20"/>
                <w:szCs w:val="20"/>
                <w:u w:val="single"/>
              </w:rPr>
              <w:instrText xml:space="preserve"> FORMTEXT </w:instrText>
            </w:r>
            <w:r>
              <w:rPr>
                <w:rFonts w:ascii="Arial" w:hAnsi="Arial" w:cs="Arial"/>
                <w:b/>
                <w:bCs/>
                <w:color w:val="800000"/>
                <w:sz w:val="20"/>
                <w:szCs w:val="20"/>
                <w:u w:val="single"/>
              </w:rPr>
            </w:r>
            <w:r>
              <w:rPr>
                <w:rFonts w:ascii="Arial" w:hAnsi="Arial" w:cs="Arial"/>
                <w:b/>
                <w:bCs/>
                <w:color w:val="800000"/>
                <w:sz w:val="20"/>
                <w:szCs w:val="20"/>
                <w:u w:val="single"/>
              </w:rPr>
              <w:fldChar w:fldCharType="separate"/>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color w:val="800000"/>
                <w:sz w:val="20"/>
                <w:szCs w:val="20"/>
                <w:u w:val="single"/>
              </w:rPr>
              <w:fldChar w:fldCharType="end"/>
            </w:r>
          </w:p>
          <w:p w14:paraId="5F5E3A56" w14:textId="77777777" w:rsidR="001C5F3C" w:rsidRDefault="001C5F3C" w:rsidP="00053F77">
            <w:pPr>
              <w:pStyle w:val="sangrado"/>
              <w:shd w:val="clear" w:color="auto" w:fill="FFFFFF"/>
              <w:spacing w:before="20" w:beforeAutospacing="0" w:after="20" w:afterAutospacing="0"/>
              <w:ind w:right="99"/>
              <w:rPr>
                <w:rFonts w:ascii="Arial" w:hAnsi="Arial" w:cs="Arial"/>
                <w:b/>
                <w:sz w:val="20"/>
                <w:szCs w:val="20"/>
              </w:rPr>
            </w:pPr>
          </w:p>
          <w:p w14:paraId="3CF0DA19" w14:textId="77777777" w:rsidR="001C5F3C" w:rsidRDefault="001C5F3C" w:rsidP="00053F77">
            <w:pPr>
              <w:pStyle w:val="sangrado"/>
              <w:shd w:val="clear" w:color="auto" w:fill="FFFFFF"/>
              <w:spacing w:before="20" w:beforeAutospacing="0" w:after="20" w:afterAutospacing="0"/>
              <w:ind w:left="0" w:right="99"/>
              <w:rPr>
                <w:rFonts w:ascii="Arial" w:hAnsi="Arial" w:cs="Arial"/>
                <w:b/>
                <w:sz w:val="20"/>
                <w:szCs w:val="20"/>
              </w:rPr>
            </w:pPr>
            <w:r w:rsidRPr="001645FD">
              <w:rPr>
                <w:rFonts w:ascii="Arial" w:hAnsi="Arial" w:cs="Arial"/>
                <w:b/>
                <w:sz w:val="20"/>
                <w:szCs w:val="20"/>
              </w:rPr>
              <w:t>Por la Autoridad Portuaria</w:t>
            </w:r>
            <w:r>
              <w:rPr>
                <w:rFonts w:ascii="Arial" w:hAnsi="Arial" w:cs="Arial"/>
                <w:b/>
                <w:sz w:val="20"/>
                <w:szCs w:val="20"/>
              </w:rPr>
              <w:t>:</w:t>
            </w:r>
            <w:r>
              <w:rPr>
                <w:rFonts w:ascii="Arial" w:hAnsi="Arial" w:cs="Arial"/>
                <w:b/>
                <w:sz w:val="20"/>
                <w:szCs w:val="20"/>
              </w:rPr>
              <w:tab/>
            </w:r>
          </w:p>
          <w:p w14:paraId="7EEBB749" w14:textId="77777777" w:rsidR="001C5F3C" w:rsidRDefault="001C5F3C" w:rsidP="00053F77">
            <w:pPr>
              <w:pStyle w:val="sangrado"/>
              <w:shd w:val="clear" w:color="auto" w:fill="FFFFFF"/>
              <w:spacing w:before="20" w:beforeAutospacing="0" w:after="20" w:afterAutospacing="0"/>
              <w:ind w:left="0" w:right="99"/>
              <w:jc w:val="right"/>
              <w:rPr>
                <w:rFonts w:ascii="Arial" w:hAnsi="Arial" w:cs="Arial"/>
                <w:b/>
                <w:sz w:val="20"/>
                <w:szCs w:val="20"/>
              </w:rPr>
            </w:pPr>
          </w:p>
          <w:p w14:paraId="33E3734A" w14:textId="77777777" w:rsidR="001C5F3C" w:rsidRPr="004A4B0A" w:rsidRDefault="001C5F3C" w:rsidP="00053F77">
            <w:pPr>
              <w:pStyle w:val="sangrado"/>
              <w:shd w:val="clear" w:color="auto" w:fill="FFFFFF"/>
              <w:spacing w:before="20" w:beforeAutospacing="0" w:after="20" w:afterAutospacing="0"/>
              <w:ind w:left="0" w:right="99"/>
              <w:rPr>
                <w:rFonts w:ascii="Arial" w:hAnsi="Arial" w:cs="Arial"/>
                <w:b/>
                <w:sz w:val="20"/>
                <w:szCs w:val="20"/>
              </w:rPr>
            </w:pPr>
            <w:r>
              <w:rPr>
                <w:rFonts w:ascii="Arial" w:hAnsi="Arial" w:cs="Arial"/>
                <w:sz w:val="20"/>
                <w:szCs w:val="20"/>
              </w:rPr>
              <w:t xml:space="preserve">         Fdo: </w:t>
            </w:r>
            <w:r>
              <w:rPr>
                <w:rFonts w:ascii="Arial" w:hAnsi="Arial" w:cs="Arial"/>
                <w:b/>
                <w:bCs/>
                <w:color w:val="800000"/>
                <w:sz w:val="20"/>
                <w:szCs w:val="20"/>
                <w:u w:val="single"/>
              </w:rPr>
              <w:fldChar w:fldCharType="begin">
                <w:ffData>
                  <w:name w:val=""/>
                  <w:enabled/>
                  <w:calcOnExit w:val="0"/>
                  <w:textInput>
                    <w:format w:val="UPPERCASE"/>
                  </w:textInput>
                </w:ffData>
              </w:fldChar>
            </w:r>
            <w:r>
              <w:rPr>
                <w:rFonts w:ascii="Arial" w:hAnsi="Arial" w:cs="Arial"/>
                <w:b/>
                <w:bCs/>
                <w:color w:val="800000"/>
                <w:sz w:val="20"/>
                <w:szCs w:val="20"/>
                <w:u w:val="single"/>
              </w:rPr>
              <w:instrText xml:space="preserve"> FORMTEXT </w:instrText>
            </w:r>
            <w:r>
              <w:rPr>
                <w:rFonts w:ascii="Arial" w:hAnsi="Arial" w:cs="Arial"/>
                <w:b/>
                <w:bCs/>
                <w:color w:val="800000"/>
                <w:sz w:val="20"/>
                <w:szCs w:val="20"/>
                <w:u w:val="single"/>
              </w:rPr>
            </w:r>
            <w:r>
              <w:rPr>
                <w:rFonts w:ascii="Arial" w:hAnsi="Arial" w:cs="Arial"/>
                <w:b/>
                <w:bCs/>
                <w:color w:val="800000"/>
                <w:sz w:val="20"/>
                <w:szCs w:val="20"/>
                <w:u w:val="single"/>
              </w:rPr>
              <w:fldChar w:fldCharType="separate"/>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noProof/>
                <w:color w:val="800000"/>
                <w:sz w:val="20"/>
                <w:szCs w:val="20"/>
                <w:u w:val="single"/>
              </w:rPr>
              <w:t> </w:t>
            </w:r>
            <w:r>
              <w:rPr>
                <w:rFonts w:ascii="Arial" w:hAnsi="Arial" w:cs="Arial"/>
                <w:b/>
                <w:bCs/>
                <w:color w:val="800000"/>
                <w:sz w:val="20"/>
                <w:szCs w:val="20"/>
                <w:u w:val="single"/>
              </w:rPr>
              <w:fldChar w:fldCharType="end"/>
            </w:r>
          </w:p>
          <w:p w14:paraId="37CABCD1" w14:textId="77777777" w:rsidR="001C5F3C" w:rsidRDefault="001C5F3C" w:rsidP="00053F77">
            <w:pPr>
              <w:pStyle w:val="sangrado2"/>
              <w:spacing w:before="20" w:beforeAutospacing="0" w:after="20" w:afterAutospacing="0" w:line="288" w:lineRule="auto"/>
              <w:ind w:right="-284"/>
              <w:jc w:val="both"/>
              <w:rPr>
                <w:rFonts w:ascii="Arial" w:hAnsi="Arial" w:cs="Arial"/>
                <w:b/>
                <w:bCs/>
              </w:rPr>
            </w:pPr>
          </w:p>
        </w:tc>
      </w:tr>
      <w:tr w:rsidR="001C5F3C" w14:paraId="2B1BD0B2" w14:textId="77777777" w:rsidTr="00053F77">
        <w:tc>
          <w:tcPr>
            <w:tcW w:w="7376" w:type="dxa"/>
          </w:tcPr>
          <w:p w14:paraId="485D82B1" w14:textId="77777777" w:rsidR="001C5F3C" w:rsidRPr="00955C7C" w:rsidRDefault="001C5F3C" w:rsidP="00053F77">
            <w:pPr>
              <w:pStyle w:val="sangrado2"/>
              <w:shd w:val="clear" w:color="auto" w:fill="FFFFFF"/>
              <w:spacing w:before="20" w:beforeAutospacing="0" w:after="20" w:afterAutospacing="0" w:line="288" w:lineRule="auto"/>
              <w:ind w:left="540" w:right="-284" w:hanging="540"/>
              <w:jc w:val="both"/>
              <w:rPr>
                <w:rFonts w:ascii="Arial" w:hAnsi="Arial" w:cs="Arial"/>
                <w:b/>
                <w:bCs/>
                <w:sz w:val="22"/>
                <w:szCs w:val="22"/>
              </w:rPr>
            </w:pPr>
          </w:p>
        </w:tc>
        <w:tc>
          <w:tcPr>
            <w:tcW w:w="3397" w:type="dxa"/>
          </w:tcPr>
          <w:p w14:paraId="466BA814" w14:textId="77777777" w:rsidR="001C5F3C" w:rsidRPr="005D2949" w:rsidRDefault="001C5F3C" w:rsidP="00053F77">
            <w:pPr>
              <w:pStyle w:val="sangrado"/>
              <w:shd w:val="clear" w:color="auto" w:fill="FFFFFF"/>
              <w:spacing w:before="20" w:beforeAutospacing="0" w:after="20" w:afterAutospacing="0"/>
              <w:ind w:left="0" w:right="99"/>
              <w:rPr>
                <w:rFonts w:ascii="Arial" w:hAnsi="Arial" w:cs="Arial"/>
                <w:b/>
                <w:sz w:val="20"/>
                <w:szCs w:val="20"/>
              </w:rPr>
            </w:pPr>
          </w:p>
        </w:tc>
      </w:tr>
    </w:tbl>
    <w:p w14:paraId="652216CD" w14:textId="77777777" w:rsidR="001C5F3C" w:rsidRPr="00955C7C" w:rsidRDefault="001C5F3C" w:rsidP="001C5F3C">
      <w:pPr>
        <w:pStyle w:val="sangrado"/>
        <w:shd w:val="clear" w:color="auto" w:fill="FFFFFF"/>
        <w:spacing w:before="20" w:beforeAutospacing="0" w:after="20" w:afterAutospacing="0" w:line="288" w:lineRule="auto"/>
        <w:ind w:left="0" w:right="-284"/>
        <w:jc w:val="both"/>
        <w:rPr>
          <w:rFonts w:ascii="Arial" w:hAnsi="Arial" w:cs="Arial"/>
          <w:bCs/>
          <w:i/>
          <w:sz w:val="16"/>
          <w:szCs w:val="16"/>
        </w:rPr>
      </w:pPr>
    </w:p>
    <w:p w14:paraId="67D1A404" w14:textId="77777777" w:rsidR="001C5F3C" w:rsidRDefault="001C5F3C" w:rsidP="001C5F3C">
      <w:pPr>
        <w:pStyle w:val="sangrado2"/>
        <w:shd w:val="clear" w:color="auto" w:fill="FFFFFF"/>
        <w:spacing w:before="20" w:beforeAutospacing="0" w:after="20" w:afterAutospacing="0"/>
        <w:ind w:left="-180" w:right="99"/>
        <w:jc w:val="both"/>
        <w:rPr>
          <w:rFonts w:ascii="Tahoma" w:hAnsi="Tahoma" w:cs="Tahoma"/>
          <w:i/>
          <w:sz w:val="16"/>
          <w:szCs w:val="16"/>
        </w:rPr>
      </w:pPr>
      <w:r w:rsidRPr="00A314EB">
        <w:rPr>
          <w:rFonts w:ascii="Tahoma" w:hAnsi="Tahoma" w:cs="Tahoma"/>
          <w:i/>
          <w:sz w:val="16"/>
          <w:szCs w:val="16"/>
        </w:rPr>
        <w:t>El usuario manifiesta que, una vez comunicado el servicio, dispone de todas las autorizaciones administrativas y validación técnica, así como de los medios exigibles en materia de Seguridad y prevención de Riesgos. La operación que se comunica es exclusiva para el suministro de GNL, BIO GNL y e-GNL y está condicionada a la disponibilidad de atraque.</w:t>
      </w:r>
      <w:r>
        <w:rPr>
          <w:rFonts w:ascii="Tahoma" w:hAnsi="Tahoma" w:cs="Tahoma"/>
          <w:i/>
          <w:sz w:val="16"/>
          <w:szCs w:val="16"/>
        </w:rPr>
        <w:br w:type="page"/>
      </w:r>
    </w:p>
    <w:p w14:paraId="708E1CB8" w14:textId="77777777" w:rsidR="001C5F3C" w:rsidRDefault="001C5F3C" w:rsidP="001C5F3C">
      <w:pPr>
        <w:spacing w:after="0" w:line="276" w:lineRule="auto"/>
        <w:jc w:val="center"/>
        <w:rPr>
          <w:rFonts w:ascii="Century Gothic" w:eastAsiaTheme="majorEastAsia" w:hAnsi="Century Gothic" w:cstheme="minorHAnsi"/>
          <w:b/>
          <w:color w:val="2F5496" w:themeColor="accent1" w:themeShade="BF"/>
          <w:sz w:val="32"/>
          <w:szCs w:val="32"/>
        </w:rPr>
      </w:pPr>
      <w:r w:rsidRPr="004A4B0A">
        <w:rPr>
          <w:rFonts w:ascii="Century Gothic" w:eastAsiaTheme="majorEastAsia" w:hAnsi="Century Gothic" w:cstheme="minorHAnsi"/>
          <w:b/>
          <w:color w:val="2F5496" w:themeColor="accent1" w:themeShade="BF"/>
          <w:sz w:val="32"/>
          <w:szCs w:val="32"/>
        </w:rPr>
        <w:lastRenderedPageBreak/>
        <w:t>ANEXO I</w:t>
      </w:r>
      <w:r>
        <w:rPr>
          <w:rFonts w:ascii="Century Gothic" w:eastAsiaTheme="majorEastAsia" w:hAnsi="Century Gothic" w:cstheme="minorHAnsi"/>
          <w:b/>
          <w:color w:val="2F5496" w:themeColor="accent1" w:themeShade="BF"/>
          <w:sz w:val="32"/>
          <w:szCs w:val="32"/>
        </w:rPr>
        <w:t>.b TTS)</w:t>
      </w:r>
      <w:r w:rsidRPr="004A4B0A">
        <w:rPr>
          <w:rFonts w:ascii="Century Gothic" w:eastAsiaTheme="majorEastAsia" w:hAnsi="Century Gothic" w:cstheme="minorHAnsi"/>
          <w:b/>
          <w:color w:val="2F5496" w:themeColor="accent1" w:themeShade="BF"/>
          <w:sz w:val="32"/>
          <w:szCs w:val="32"/>
        </w:rPr>
        <w:t xml:space="preserve">: </w:t>
      </w:r>
      <w:r>
        <w:rPr>
          <w:rFonts w:ascii="Century Gothic" w:eastAsiaTheme="majorEastAsia" w:hAnsi="Century Gothic" w:cstheme="minorHAnsi"/>
          <w:b/>
          <w:color w:val="2F5496" w:themeColor="accent1" w:themeShade="BF"/>
          <w:sz w:val="32"/>
          <w:szCs w:val="32"/>
        </w:rPr>
        <w:t xml:space="preserve">Listas de comprobación </w:t>
      </w:r>
    </w:p>
    <w:p w14:paraId="16F0B4EF" w14:textId="77777777" w:rsidR="001C5F3C" w:rsidRDefault="001C5F3C" w:rsidP="001C5F3C">
      <w:pPr>
        <w:spacing w:after="0" w:line="276" w:lineRule="auto"/>
        <w:jc w:val="both"/>
        <w:rPr>
          <w:rFonts w:ascii="Century Gothic" w:eastAsia="Times New Roman" w:hAnsi="Century Gothic" w:cstheme="minorHAnsi"/>
          <w:bCs/>
          <w:lang w:eastAsia="es-ES"/>
        </w:rPr>
      </w:pPr>
    </w:p>
    <w:p w14:paraId="2B59F27E" w14:textId="77777777" w:rsidR="001C5F3C" w:rsidRPr="00017E4C" w:rsidRDefault="001C5F3C" w:rsidP="001C5F3C">
      <w:pPr>
        <w:spacing w:after="0" w:line="276" w:lineRule="auto"/>
        <w:jc w:val="both"/>
        <w:rPr>
          <w:rFonts w:ascii="Century Gothic" w:eastAsia="Times New Roman" w:hAnsi="Century Gothic" w:cstheme="minorHAnsi"/>
          <w:bCs/>
          <w:lang w:eastAsia="es-ES"/>
        </w:rPr>
      </w:pPr>
    </w:p>
    <w:p w14:paraId="34B8920F" w14:textId="77777777" w:rsidR="001C5F3C" w:rsidRDefault="001C5F3C" w:rsidP="001C5F3C">
      <w:pPr>
        <w:pStyle w:val="Ttulocaptulo"/>
        <w:spacing w:line="288" w:lineRule="auto"/>
        <w:ind w:right="-284"/>
        <w:rPr>
          <w:rFonts w:ascii="Tahoma" w:hAnsi="Tahoma" w:cs="Tahoma"/>
          <w:b w:val="0"/>
          <w:sz w:val="22"/>
          <w:szCs w:val="22"/>
        </w:rPr>
      </w:pPr>
      <w:r w:rsidRPr="00D407F0">
        <w:rPr>
          <w:rFonts w:ascii="Tahoma" w:hAnsi="Tahoma" w:cs="Tahoma"/>
          <w:b w:val="0"/>
          <w:sz w:val="22"/>
          <w:szCs w:val="22"/>
        </w:rPr>
        <w:t xml:space="preserve">En todas las operaciones de suministro Truck-to-Ship deberá utilizarse, </w:t>
      </w:r>
      <w:r w:rsidRPr="00D407F0">
        <w:rPr>
          <w:rFonts w:ascii="Tahoma" w:hAnsi="Tahoma" w:cs="Tahoma"/>
          <w:bCs/>
          <w:sz w:val="22"/>
          <w:szCs w:val="22"/>
        </w:rPr>
        <w:t>en su versión vigente</w:t>
      </w:r>
      <w:r w:rsidRPr="00D407F0">
        <w:rPr>
          <w:rFonts w:ascii="Tahoma" w:hAnsi="Tahoma" w:cs="Tahoma"/>
          <w:b w:val="0"/>
          <w:sz w:val="22"/>
          <w:szCs w:val="22"/>
        </w:rPr>
        <w:t xml:space="preserve">, la IAPH Liquefied Gas Bunker Checklist correspondiente al tipo de operación. </w:t>
      </w:r>
    </w:p>
    <w:p w14:paraId="27C80B76" w14:textId="77777777" w:rsidR="001C5F3C" w:rsidRDefault="001C5F3C" w:rsidP="001C5F3C">
      <w:pPr>
        <w:pStyle w:val="Ttulocaptulo"/>
        <w:spacing w:line="288" w:lineRule="auto"/>
        <w:ind w:right="-284"/>
        <w:rPr>
          <w:rFonts w:ascii="Tahoma" w:hAnsi="Tahoma" w:cs="Tahoma"/>
          <w:b w:val="0"/>
          <w:sz w:val="22"/>
          <w:szCs w:val="22"/>
        </w:rPr>
      </w:pPr>
    </w:p>
    <w:p w14:paraId="406C88AE" w14:textId="77777777" w:rsidR="001C5F3C" w:rsidRDefault="001C5F3C" w:rsidP="001C5F3C">
      <w:pPr>
        <w:pStyle w:val="Ttulocaptulo"/>
        <w:spacing w:line="288" w:lineRule="auto"/>
        <w:ind w:right="-284"/>
        <w:rPr>
          <w:rFonts w:ascii="Tahoma" w:hAnsi="Tahoma" w:cs="Tahoma"/>
          <w:b w:val="0"/>
          <w:sz w:val="22"/>
          <w:szCs w:val="22"/>
        </w:rPr>
      </w:pPr>
      <w:r>
        <w:rPr>
          <w:rFonts w:ascii="Tahoma" w:hAnsi="Tahoma" w:cs="Tahoma"/>
          <w:b w:val="0"/>
          <w:sz w:val="22"/>
          <w:szCs w:val="22"/>
        </w:rPr>
        <w:t>(Consultar la disponibilidad de las últimas versiones a través del enlace siguiente o, en caso de no encontrarse operativo, a través de la página web oficial de IAPH)</w:t>
      </w:r>
    </w:p>
    <w:p w14:paraId="1EC45ABF" w14:textId="77777777" w:rsidR="001C5F3C" w:rsidRDefault="001C5F3C" w:rsidP="001C5F3C">
      <w:pPr>
        <w:pStyle w:val="Ttulocaptulo"/>
        <w:spacing w:line="288" w:lineRule="auto"/>
        <w:ind w:right="-284"/>
        <w:rPr>
          <w:rFonts w:ascii="Tahoma" w:hAnsi="Tahoma" w:cs="Tahoma"/>
          <w:b w:val="0"/>
          <w:sz w:val="22"/>
          <w:szCs w:val="22"/>
        </w:rPr>
      </w:pPr>
    </w:p>
    <w:p w14:paraId="6DDA1B90" w14:textId="77777777" w:rsidR="001C5F3C" w:rsidRPr="00D407F0" w:rsidRDefault="001C5F3C" w:rsidP="001C5F3C">
      <w:pPr>
        <w:pStyle w:val="Ttulocaptulo"/>
        <w:spacing w:line="288" w:lineRule="auto"/>
        <w:ind w:right="-284"/>
        <w:rPr>
          <w:rFonts w:ascii="Tahoma" w:hAnsi="Tahoma" w:cs="Tahoma"/>
          <w:b w:val="0"/>
          <w:sz w:val="22"/>
          <w:szCs w:val="22"/>
        </w:rPr>
      </w:pPr>
      <w:hyperlink r:id="rId16" w:anchor="tst" w:history="1">
        <w:r w:rsidRPr="000B25A8">
          <w:rPr>
            <w:rStyle w:val="Hipervnculo"/>
            <w:rFonts w:ascii="Tahoma" w:hAnsi="Tahoma" w:cs="Tahoma"/>
            <w:b w:val="0"/>
            <w:sz w:val="22"/>
            <w:szCs w:val="22"/>
          </w:rPr>
          <w:t>https://sustainableworldports.org/clean-marine-fuels/lng-bunkering/bunker-checklists/#tst</w:t>
        </w:r>
      </w:hyperlink>
      <w:r>
        <w:rPr>
          <w:rFonts w:ascii="Tahoma" w:hAnsi="Tahoma" w:cs="Tahoma"/>
          <w:b w:val="0"/>
          <w:sz w:val="22"/>
          <w:szCs w:val="22"/>
        </w:rPr>
        <w:t xml:space="preserve"> </w:t>
      </w:r>
    </w:p>
    <w:p w14:paraId="63605CC5" w14:textId="77777777" w:rsidR="001C5F3C" w:rsidRPr="00D407F0" w:rsidRDefault="001C5F3C" w:rsidP="001C5F3C">
      <w:pPr>
        <w:pStyle w:val="Ttulocaptulo"/>
        <w:spacing w:line="288" w:lineRule="auto"/>
        <w:ind w:right="-284"/>
        <w:rPr>
          <w:rFonts w:ascii="Tahoma" w:hAnsi="Tahoma" w:cs="Tahoma"/>
          <w:b w:val="0"/>
          <w:sz w:val="22"/>
          <w:szCs w:val="22"/>
        </w:rPr>
      </w:pPr>
    </w:p>
    <w:p w14:paraId="02D3DC58" w14:textId="77777777" w:rsidR="001C5F3C" w:rsidRPr="003420F9" w:rsidRDefault="001C5F3C" w:rsidP="001C5F3C">
      <w:pPr>
        <w:pStyle w:val="Ttulocaptulo"/>
        <w:spacing w:line="288" w:lineRule="auto"/>
        <w:ind w:right="-284"/>
        <w:rPr>
          <w:rFonts w:ascii="Tahoma" w:hAnsi="Tahoma" w:cs="Tahoma"/>
          <w:b w:val="0"/>
          <w:sz w:val="22"/>
          <w:szCs w:val="22"/>
          <w:lang w:val="en-GB"/>
        </w:rPr>
      </w:pPr>
      <w:r w:rsidRPr="003420F9">
        <w:rPr>
          <w:rFonts w:ascii="Tahoma" w:hAnsi="Tahoma" w:cs="Tahoma"/>
          <w:b w:val="0"/>
          <w:sz w:val="22"/>
          <w:szCs w:val="22"/>
          <w:lang w:val="en-GB"/>
        </w:rPr>
        <w:t>• TTS-A – Single Truck to Ship (BFO supervision)</w:t>
      </w:r>
    </w:p>
    <w:p w14:paraId="14B8C93A" w14:textId="77777777" w:rsidR="001C5F3C" w:rsidRPr="003420F9" w:rsidRDefault="001C5F3C" w:rsidP="001C5F3C">
      <w:pPr>
        <w:pStyle w:val="Ttulocaptulo"/>
        <w:spacing w:line="288" w:lineRule="auto"/>
        <w:ind w:right="-284"/>
        <w:rPr>
          <w:rFonts w:ascii="Tahoma" w:hAnsi="Tahoma" w:cs="Tahoma"/>
          <w:b w:val="0"/>
          <w:sz w:val="22"/>
          <w:szCs w:val="22"/>
          <w:lang w:val="en-GB"/>
        </w:rPr>
      </w:pPr>
      <w:r w:rsidRPr="003420F9">
        <w:rPr>
          <w:rFonts w:ascii="Tahoma" w:hAnsi="Tahoma" w:cs="Tahoma"/>
          <w:b w:val="0"/>
          <w:sz w:val="22"/>
          <w:szCs w:val="22"/>
          <w:lang w:val="en-GB"/>
        </w:rPr>
        <w:t>• TTS-B – Single Truck to Ship (Receiving Vessel, non-terminal site)</w:t>
      </w:r>
    </w:p>
    <w:p w14:paraId="100C84D3" w14:textId="77777777" w:rsidR="001C5F3C" w:rsidRPr="003420F9" w:rsidRDefault="001C5F3C" w:rsidP="001C5F3C">
      <w:pPr>
        <w:pStyle w:val="Ttulocaptulo"/>
        <w:spacing w:line="288" w:lineRule="auto"/>
        <w:ind w:right="-284"/>
        <w:rPr>
          <w:rFonts w:ascii="Tahoma" w:hAnsi="Tahoma" w:cs="Tahoma"/>
          <w:b w:val="0"/>
          <w:sz w:val="22"/>
          <w:szCs w:val="22"/>
          <w:lang w:val="en-GB"/>
        </w:rPr>
      </w:pPr>
      <w:r w:rsidRPr="003420F9">
        <w:rPr>
          <w:rFonts w:ascii="Tahoma" w:hAnsi="Tahoma" w:cs="Tahoma"/>
          <w:b w:val="0"/>
          <w:sz w:val="22"/>
          <w:szCs w:val="22"/>
          <w:lang w:val="en-GB"/>
        </w:rPr>
        <w:t>• TTS-T – Single Truck to Ship (Terminal supervision)</w:t>
      </w:r>
    </w:p>
    <w:p w14:paraId="4B505976" w14:textId="77777777" w:rsidR="001C5F3C" w:rsidRPr="003420F9" w:rsidRDefault="001C5F3C" w:rsidP="001C5F3C">
      <w:pPr>
        <w:pStyle w:val="Ttulocaptulo"/>
        <w:spacing w:line="288" w:lineRule="auto"/>
        <w:ind w:right="-284"/>
        <w:rPr>
          <w:rFonts w:ascii="Tahoma" w:hAnsi="Tahoma" w:cs="Tahoma"/>
          <w:b w:val="0"/>
          <w:sz w:val="22"/>
          <w:szCs w:val="22"/>
          <w:lang w:val="en-GB"/>
        </w:rPr>
      </w:pPr>
      <w:r w:rsidRPr="003420F9">
        <w:rPr>
          <w:rFonts w:ascii="Tahoma" w:hAnsi="Tahoma" w:cs="Tahoma"/>
          <w:b w:val="0"/>
          <w:sz w:val="22"/>
          <w:szCs w:val="22"/>
          <w:lang w:val="en-GB"/>
        </w:rPr>
        <w:t>• TTS-M – Multiple Trucks to Ship (BFO supervision)</w:t>
      </w:r>
    </w:p>
    <w:p w14:paraId="6484D04B" w14:textId="77777777" w:rsidR="001C5F3C" w:rsidRPr="00A33A57" w:rsidRDefault="001C5F3C" w:rsidP="001C5F3C">
      <w:pPr>
        <w:pStyle w:val="Ttulocaptulo"/>
        <w:spacing w:line="288" w:lineRule="auto"/>
        <w:ind w:right="-284"/>
        <w:rPr>
          <w:rFonts w:ascii="Tahoma" w:hAnsi="Tahoma" w:cs="Tahoma"/>
          <w:b w:val="0"/>
          <w:sz w:val="22"/>
          <w:szCs w:val="22"/>
          <w:lang w:val="en-US"/>
        </w:rPr>
      </w:pPr>
    </w:p>
    <w:p w14:paraId="5637B193" w14:textId="77777777" w:rsidR="001C5F3C" w:rsidRPr="00A33A57" w:rsidRDefault="001C5F3C" w:rsidP="001C5F3C">
      <w:pPr>
        <w:pStyle w:val="Ttulocaptulo"/>
        <w:spacing w:line="288" w:lineRule="auto"/>
        <w:ind w:right="-284"/>
        <w:rPr>
          <w:rFonts w:ascii="Tahoma" w:hAnsi="Tahoma" w:cs="Tahoma"/>
          <w:b w:val="0"/>
          <w:sz w:val="22"/>
          <w:szCs w:val="22"/>
          <w:lang w:val="en-US"/>
        </w:rPr>
      </w:pPr>
    </w:p>
    <w:p w14:paraId="31A4368F" w14:textId="77777777" w:rsidR="001C5F3C" w:rsidRDefault="001C5F3C" w:rsidP="001C5F3C">
      <w:pPr>
        <w:pStyle w:val="Ttulocaptulo"/>
        <w:spacing w:line="288" w:lineRule="auto"/>
        <w:ind w:right="-284"/>
        <w:rPr>
          <w:rFonts w:ascii="Tahoma" w:hAnsi="Tahoma" w:cs="Tahoma"/>
          <w:b w:val="0"/>
          <w:sz w:val="22"/>
          <w:szCs w:val="22"/>
        </w:rPr>
      </w:pPr>
      <w:r w:rsidRPr="00D407F0">
        <w:rPr>
          <w:rFonts w:ascii="Tahoma" w:hAnsi="Tahoma" w:cs="Tahoma"/>
          <w:b w:val="0"/>
          <w:sz w:val="22"/>
          <w:szCs w:val="22"/>
        </w:rPr>
        <w:t>La cumplimentación íntegra de la lista comprobación aplicable será obligatoria para todas las partes intervinientes.</w:t>
      </w:r>
    </w:p>
    <w:p w14:paraId="03CDE3D8" w14:textId="77777777" w:rsidR="001C5F3C" w:rsidRDefault="001C5F3C" w:rsidP="001C5F3C">
      <w:pPr>
        <w:rPr>
          <w:rFonts w:ascii="Tahoma" w:eastAsia="Times New Roman" w:hAnsi="Tahoma" w:cs="Tahoma"/>
          <w:snapToGrid w:val="0"/>
          <w:lang w:val="es-ES_tradnl" w:eastAsia="es-ES"/>
        </w:rPr>
      </w:pPr>
      <w:r>
        <w:rPr>
          <w:rFonts w:ascii="Tahoma" w:hAnsi="Tahoma" w:cs="Tahoma"/>
          <w:b/>
        </w:rPr>
        <w:br w:type="page"/>
      </w:r>
    </w:p>
    <w:p w14:paraId="0CAA8B6C" w14:textId="77777777" w:rsidR="001C5F3C" w:rsidRPr="00B449BD" w:rsidRDefault="001C5F3C" w:rsidP="001C5F3C">
      <w:pPr>
        <w:spacing w:after="0" w:line="360" w:lineRule="auto"/>
        <w:jc w:val="both"/>
        <w:rPr>
          <w:rFonts w:ascii="Tahoma" w:eastAsia="Times New Roman" w:hAnsi="Tahoma" w:cs="Tahoma"/>
          <w:b/>
          <w:sz w:val="18"/>
          <w:szCs w:val="18"/>
          <w:lang w:eastAsia="es-ES"/>
        </w:rPr>
      </w:pPr>
      <w:r w:rsidRPr="00B449BD">
        <w:rPr>
          <w:rFonts w:ascii="Tahoma" w:eastAsia="Times New Roman" w:hAnsi="Tahoma" w:cs="Tahoma"/>
          <w:b/>
          <w:sz w:val="18"/>
          <w:szCs w:val="18"/>
          <w:lang w:eastAsia="es-ES"/>
        </w:rPr>
        <w:lastRenderedPageBreak/>
        <w:t>DECLARACIÓN:</w:t>
      </w:r>
    </w:p>
    <w:p w14:paraId="05B35952" w14:textId="77777777" w:rsidR="001C5F3C" w:rsidRPr="00B449BD" w:rsidRDefault="001C5F3C" w:rsidP="001C5F3C">
      <w:pPr>
        <w:spacing w:after="0" w:line="360" w:lineRule="auto"/>
        <w:jc w:val="both"/>
        <w:rPr>
          <w:rFonts w:ascii="Tahoma" w:eastAsia="Times New Roman" w:hAnsi="Tahoma" w:cs="Tahoma"/>
          <w:sz w:val="18"/>
          <w:szCs w:val="18"/>
          <w:lang w:eastAsia="es-ES"/>
        </w:rPr>
      </w:pPr>
      <w:r w:rsidRPr="00B449BD">
        <w:rPr>
          <w:rFonts w:ascii="Tahoma" w:eastAsia="Times New Roman" w:hAnsi="Tahoma" w:cs="Tahoma"/>
          <w:sz w:val="18"/>
          <w:szCs w:val="18"/>
          <w:lang w:eastAsia="es-ES"/>
        </w:rPr>
        <w:t>STATEMENT:</w:t>
      </w:r>
    </w:p>
    <w:p w14:paraId="4C766346" w14:textId="77777777" w:rsidR="001C5F3C" w:rsidRPr="00B449BD" w:rsidRDefault="001C5F3C" w:rsidP="001C5F3C">
      <w:pPr>
        <w:spacing w:after="0" w:line="360" w:lineRule="auto"/>
        <w:jc w:val="both"/>
        <w:rPr>
          <w:rFonts w:ascii="Tahoma" w:eastAsia="Times New Roman" w:hAnsi="Tahoma" w:cs="Tahoma"/>
          <w:sz w:val="18"/>
          <w:szCs w:val="18"/>
          <w:lang w:eastAsia="es-ES"/>
        </w:rPr>
      </w:pPr>
      <w:r w:rsidRPr="00B449BD">
        <w:rPr>
          <w:rFonts w:ascii="Tahoma" w:eastAsia="Times New Roman" w:hAnsi="Tahoma" w:cs="Tahoma"/>
          <w:sz w:val="18"/>
          <w:szCs w:val="18"/>
          <w:lang w:eastAsia="es-ES"/>
        </w:rPr>
        <w:t>Los abajo firmantes, antes del inicio de las operaciones, hemos comprobado los diferentes puntos de esta “Lista de Comprobación”, estimando que son satisfactorios los controles efectuados por encontrarlos correctos, de acuerdo con nuestro mejor saber y entender, y que se han tomado las medidas precisas para poder repetir las comprobaciones que se estimen necesarias.</w:t>
      </w:r>
    </w:p>
    <w:p w14:paraId="74CB4F04" w14:textId="77777777" w:rsidR="001C5F3C" w:rsidRPr="00B449BD" w:rsidRDefault="001C5F3C" w:rsidP="001C5F3C">
      <w:pPr>
        <w:spacing w:after="0" w:line="360" w:lineRule="auto"/>
        <w:jc w:val="both"/>
        <w:rPr>
          <w:rFonts w:ascii="Tahoma" w:eastAsia="Times New Roman" w:hAnsi="Tahoma" w:cs="Tahoma"/>
          <w:b/>
          <w:bCs/>
          <w:i/>
          <w:smallCaps/>
          <w:color w:val="333399"/>
          <w:lang w:val="en-GB" w:eastAsia="es-ES"/>
        </w:rPr>
      </w:pPr>
      <w:r w:rsidRPr="00B449BD">
        <w:rPr>
          <w:rFonts w:ascii="Tahoma" w:eastAsia="Times New Roman" w:hAnsi="Tahoma" w:cs="Tahoma"/>
          <w:i/>
          <w:sz w:val="18"/>
          <w:szCs w:val="18"/>
          <w:lang w:val="en-GB" w:eastAsia="es-ES"/>
        </w:rPr>
        <w:t>The undersigned, before the beginning of the Operations, have verified all the ítems in this “Safety Check list”, considerating that the controls carried out are satisfactory as we find then correct, according to the best of our Knowledge, and that the accurate measures have been carried out in order to repeat the verifications as may be necessary</w:t>
      </w:r>
      <w:r w:rsidRPr="00B449BD">
        <w:rPr>
          <w:rFonts w:ascii="Tahoma" w:eastAsia="Times New Roman" w:hAnsi="Tahoma" w:cs="Tahoma"/>
          <w:i/>
          <w:lang w:val="en-GB" w:eastAsia="es-ES"/>
        </w:rPr>
        <w:t>.</w:t>
      </w:r>
    </w:p>
    <w:tbl>
      <w:tblPr>
        <w:tblpPr w:leftFromText="141" w:rightFromText="141" w:vertAnchor="text" w:horzAnchor="margin" w:tblpX="140" w:tblpY="165"/>
        <w:tblW w:w="8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2"/>
        <w:gridCol w:w="4390"/>
      </w:tblGrid>
      <w:tr w:rsidR="001C5F3C" w:rsidRPr="00B81BC7" w14:paraId="56F2B3F2" w14:textId="77777777" w:rsidTr="00053F77">
        <w:trPr>
          <w:trHeight w:val="700"/>
        </w:trPr>
        <w:tc>
          <w:tcPr>
            <w:tcW w:w="4212" w:type="dxa"/>
          </w:tcPr>
          <w:p w14:paraId="36A33D72" w14:textId="77777777" w:rsidR="001C5F3C" w:rsidRPr="00B449BD" w:rsidRDefault="001C5F3C" w:rsidP="00053F77">
            <w:pPr>
              <w:spacing w:after="0" w:line="360" w:lineRule="auto"/>
              <w:ind w:left="284" w:hanging="426"/>
              <w:jc w:val="center"/>
              <w:rPr>
                <w:rFonts w:ascii="Tahoma" w:eastAsia="Times New Roman" w:hAnsi="Tahoma" w:cs="Tahoma"/>
                <w:b/>
                <w:sz w:val="18"/>
                <w:szCs w:val="18"/>
                <w:lang w:val="en-GB" w:eastAsia="es-ES"/>
              </w:rPr>
            </w:pPr>
            <w:r w:rsidRPr="00B449BD">
              <w:rPr>
                <w:rFonts w:ascii="Tahoma" w:eastAsia="Times New Roman" w:hAnsi="Tahoma" w:cs="Tahoma"/>
                <w:b/>
                <w:sz w:val="18"/>
                <w:szCs w:val="18"/>
                <w:lang w:val="en-GB" w:eastAsia="es-ES"/>
              </w:rPr>
              <w:t>POR EL BUQUE</w:t>
            </w:r>
          </w:p>
          <w:p w14:paraId="2F7914F5" w14:textId="77777777" w:rsidR="001C5F3C" w:rsidRPr="00B449BD" w:rsidRDefault="001C5F3C" w:rsidP="00053F77">
            <w:pPr>
              <w:spacing w:after="0" w:line="360" w:lineRule="auto"/>
              <w:jc w:val="center"/>
              <w:rPr>
                <w:rFonts w:ascii="Tahoma" w:eastAsia="Times New Roman" w:hAnsi="Tahoma" w:cs="Tahoma"/>
                <w:sz w:val="18"/>
                <w:szCs w:val="18"/>
                <w:lang w:val="en-GB" w:eastAsia="es-ES"/>
              </w:rPr>
            </w:pPr>
            <w:r w:rsidRPr="00B449BD">
              <w:rPr>
                <w:rFonts w:ascii="Tahoma" w:eastAsia="Times New Roman" w:hAnsi="Tahoma" w:cs="Tahoma"/>
                <w:sz w:val="18"/>
                <w:szCs w:val="18"/>
                <w:lang w:val="en-GB" w:eastAsia="es-ES"/>
              </w:rPr>
              <w:t>BY THE VESSEL</w:t>
            </w:r>
          </w:p>
        </w:tc>
        <w:tc>
          <w:tcPr>
            <w:tcW w:w="4390" w:type="dxa"/>
          </w:tcPr>
          <w:p w14:paraId="5325CCFA" w14:textId="77777777" w:rsidR="001C5F3C" w:rsidRPr="00742324" w:rsidRDefault="001C5F3C" w:rsidP="00053F77">
            <w:pPr>
              <w:spacing w:after="0" w:line="360" w:lineRule="auto"/>
              <w:jc w:val="center"/>
              <w:rPr>
                <w:rFonts w:ascii="Tahoma" w:eastAsia="Times New Roman" w:hAnsi="Tahoma" w:cs="Tahoma"/>
                <w:b/>
                <w:sz w:val="18"/>
                <w:szCs w:val="18"/>
                <w:lang w:val="en-GB" w:eastAsia="es-ES"/>
              </w:rPr>
            </w:pPr>
            <w:r w:rsidRPr="00742324">
              <w:rPr>
                <w:rFonts w:ascii="Tahoma" w:eastAsia="Times New Roman" w:hAnsi="Tahoma" w:cs="Tahoma"/>
                <w:b/>
                <w:sz w:val="18"/>
                <w:szCs w:val="18"/>
                <w:lang w:val="en-GB" w:eastAsia="es-ES"/>
              </w:rPr>
              <w:t>POR EL CAMIÓN</w:t>
            </w:r>
          </w:p>
          <w:p w14:paraId="6C3561B8" w14:textId="77777777" w:rsidR="001C5F3C" w:rsidRPr="00742324" w:rsidRDefault="001C5F3C" w:rsidP="00053F77">
            <w:pPr>
              <w:spacing w:after="0" w:line="360" w:lineRule="auto"/>
              <w:jc w:val="center"/>
              <w:rPr>
                <w:rFonts w:ascii="Tahoma" w:eastAsia="Times New Roman" w:hAnsi="Tahoma" w:cs="Tahoma"/>
                <w:sz w:val="18"/>
                <w:szCs w:val="18"/>
                <w:lang w:val="en-GB" w:eastAsia="es-ES"/>
              </w:rPr>
            </w:pPr>
            <w:r w:rsidRPr="00742324">
              <w:rPr>
                <w:rFonts w:ascii="Tahoma" w:eastAsia="Times New Roman" w:hAnsi="Tahoma" w:cs="Tahoma"/>
                <w:sz w:val="18"/>
                <w:szCs w:val="18"/>
                <w:lang w:val="en-GB" w:eastAsia="es-ES"/>
              </w:rPr>
              <w:t>BY THE TRUCK</w:t>
            </w:r>
          </w:p>
        </w:tc>
      </w:tr>
      <w:tr w:rsidR="001C5F3C" w:rsidRPr="00450A01" w14:paraId="134B5E34" w14:textId="77777777" w:rsidTr="00053F77">
        <w:trPr>
          <w:trHeight w:val="720"/>
        </w:trPr>
        <w:tc>
          <w:tcPr>
            <w:tcW w:w="4212" w:type="dxa"/>
          </w:tcPr>
          <w:p w14:paraId="37EE3E87" w14:textId="77777777" w:rsidR="001C5F3C" w:rsidRPr="00B449BD" w:rsidRDefault="001C5F3C" w:rsidP="00053F77">
            <w:pPr>
              <w:spacing w:after="0" w:line="360" w:lineRule="auto"/>
              <w:jc w:val="both"/>
              <w:rPr>
                <w:rFonts w:ascii="Tahoma" w:eastAsia="Times New Roman" w:hAnsi="Tahoma" w:cs="Tahoma"/>
                <w:b/>
                <w:sz w:val="18"/>
                <w:szCs w:val="18"/>
                <w:lang w:val="en-GB" w:eastAsia="es-ES"/>
              </w:rPr>
            </w:pPr>
            <w:r w:rsidRPr="00B449BD">
              <w:rPr>
                <w:rFonts w:ascii="Tahoma" w:eastAsia="Times New Roman" w:hAnsi="Tahoma" w:cs="Tahoma"/>
                <w:b/>
                <w:sz w:val="18"/>
                <w:szCs w:val="18"/>
                <w:lang w:val="en-GB" w:eastAsia="es-ES"/>
              </w:rPr>
              <w:t>NOMBRE:</w:t>
            </w:r>
          </w:p>
          <w:p w14:paraId="49E1A54C" w14:textId="77777777" w:rsidR="001C5F3C" w:rsidRPr="00B449BD" w:rsidRDefault="001C5F3C" w:rsidP="00053F77">
            <w:pPr>
              <w:spacing w:after="0" w:line="360" w:lineRule="auto"/>
              <w:jc w:val="both"/>
              <w:rPr>
                <w:rFonts w:ascii="Tahoma" w:eastAsia="Times New Roman" w:hAnsi="Tahoma" w:cs="Tahoma"/>
                <w:sz w:val="18"/>
                <w:szCs w:val="18"/>
                <w:lang w:val="en-GB" w:eastAsia="es-ES"/>
              </w:rPr>
            </w:pPr>
            <w:r w:rsidRPr="00B449BD">
              <w:rPr>
                <w:rFonts w:ascii="Tahoma" w:eastAsia="Times New Roman" w:hAnsi="Tahoma" w:cs="Tahoma"/>
                <w:sz w:val="18"/>
                <w:szCs w:val="18"/>
                <w:lang w:val="en-GB" w:eastAsia="es-ES"/>
              </w:rPr>
              <w:t>NAME:</w:t>
            </w:r>
          </w:p>
        </w:tc>
        <w:tc>
          <w:tcPr>
            <w:tcW w:w="4390" w:type="dxa"/>
          </w:tcPr>
          <w:p w14:paraId="708F2FCB" w14:textId="77777777" w:rsidR="001C5F3C" w:rsidRDefault="001C5F3C" w:rsidP="00053F77">
            <w:pPr>
              <w:spacing w:after="0" w:line="360" w:lineRule="auto"/>
              <w:jc w:val="both"/>
              <w:rPr>
                <w:rFonts w:ascii="Tahoma" w:eastAsia="Times New Roman" w:hAnsi="Tahoma" w:cs="Tahoma"/>
                <w:b/>
                <w:sz w:val="18"/>
                <w:szCs w:val="18"/>
                <w:lang w:eastAsia="es-ES"/>
              </w:rPr>
            </w:pPr>
            <w:r w:rsidRPr="003C4F7B">
              <w:rPr>
                <w:rFonts w:ascii="Tahoma" w:eastAsia="Times New Roman" w:hAnsi="Tahoma" w:cs="Tahoma"/>
                <w:b/>
                <w:sz w:val="18"/>
                <w:szCs w:val="18"/>
                <w:lang w:eastAsia="es-ES"/>
              </w:rPr>
              <w:t>RESPONSABLE DE LA COORDINACIÓN Y LA SEGURIDAD DE LA OPERACIÓN DE SUMINISTRO “IN SITU”</w:t>
            </w:r>
            <w:r>
              <w:rPr>
                <w:rFonts w:ascii="Tahoma" w:eastAsia="Times New Roman" w:hAnsi="Tahoma" w:cs="Tahoma"/>
                <w:b/>
                <w:sz w:val="18"/>
                <w:szCs w:val="18"/>
                <w:lang w:eastAsia="es-ES"/>
              </w:rPr>
              <w:t xml:space="preserve"> / CONDUCTOR DEL CAMIÓN</w:t>
            </w:r>
          </w:p>
          <w:p w14:paraId="4029811F" w14:textId="77777777" w:rsidR="001C5F3C" w:rsidRPr="00B449BD" w:rsidRDefault="001C5F3C" w:rsidP="00053F77">
            <w:pPr>
              <w:spacing w:after="0" w:line="360" w:lineRule="auto"/>
              <w:jc w:val="both"/>
              <w:rPr>
                <w:rFonts w:ascii="Tahoma" w:eastAsia="Times New Roman" w:hAnsi="Tahoma" w:cs="Tahoma"/>
                <w:sz w:val="18"/>
                <w:szCs w:val="18"/>
                <w:lang w:val="en-GB" w:eastAsia="es-ES"/>
              </w:rPr>
            </w:pPr>
            <w:r w:rsidRPr="003C4F7B">
              <w:rPr>
                <w:rFonts w:ascii="Tahoma" w:eastAsia="Times New Roman" w:hAnsi="Tahoma" w:cs="Tahoma"/>
                <w:sz w:val="18"/>
                <w:szCs w:val="18"/>
                <w:lang w:val="en-GB" w:eastAsia="es-ES"/>
              </w:rPr>
              <w:t>PERSON RESPONSIBLE FOR THE COORDINATION AND SAFETY OF THE ON-SITE SUPPLY OPERATION / TRUCK DRIVER</w:t>
            </w:r>
          </w:p>
        </w:tc>
      </w:tr>
      <w:tr w:rsidR="001C5F3C" w:rsidRPr="00B449BD" w14:paraId="309EA275" w14:textId="77777777" w:rsidTr="00053F77">
        <w:trPr>
          <w:trHeight w:val="920"/>
        </w:trPr>
        <w:tc>
          <w:tcPr>
            <w:tcW w:w="4212" w:type="dxa"/>
          </w:tcPr>
          <w:p w14:paraId="4D699F7F" w14:textId="77777777" w:rsidR="001C5F3C" w:rsidRPr="00B449BD" w:rsidRDefault="001C5F3C" w:rsidP="00053F77">
            <w:pPr>
              <w:spacing w:after="0" w:line="360" w:lineRule="auto"/>
              <w:jc w:val="both"/>
              <w:rPr>
                <w:rFonts w:ascii="Tahoma" w:eastAsia="Times New Roman" w:hAnsi="Tahoma" w:cs="Tahoma"/>
                <w:b/>
                <w:sz w:val="18"/>
                <w:szCs w:val="18"/>
                <w:lang w:eastAsia="es-ES"/>
              </w:rPr>
            </w:pPr>
            <w:r w:rsidRPr="00B449BD">
              <w:rPr>
                <w:rFonts w:ascii="Tahoma" w:eastAsia="Times New Roman" w:hAnsi="Tahoma" w:cs="Tahoma"/>
                <w:b/>
                <w:sz w:val="18"/>
                <w:szCs w:val="18"/>
                <w:lang w:eastAsia="es-ES"/>
              </w:rPr>
              <w:t>CARGO:</w:t>
            </w:r>
          </w:p>
          <w:p w14:paraId="6818A439" w14:textId="77777777" w:rsidR="001C5F3C" w:rsidRPr="00B449BD" w:rsidRDefault="001C5F3C" w:rsidP="00053F77">
            <w:pPr>
              <w:spacing w:after="0" w:line="360" w:lineRule="auto"/>
              <w:jc w:val="both"/>
              <w:rPr>
                <w:rFonts w:ascii="Tahoma" w:eastAsia="Times New Roman" w:hAnsi="Tahoma" w:cs="Tahoma"/>
                <w:sz w:val="18"/>
                <w:szCs w:val="18"/>
                <w:lang w:eastAsia="es-ES"/>
              </w:rPr>
            </w:pPr>
            <w:r w:rsidRPr="00B449BD">
              <w:rPr>
                <w:rFonts w:ascii="Tahoma" w:eastAsia="Times New Roman" w:hAnsi="Tahoma" w:cs="Tahoma"/>
                <w:sz w:val="18"/>
                <w:szCs w:val="18"/>
                <w:lang w:eastAsia="es-ES"/>
              </w:rPr>
              <w:t>POSITION:</w:t>
            </w:r>
          </w:p>
        </w:tc>
        <w:tc>
          <w:tcPr>
            <w:tcW w:w="4390" w:type="dxa"/>
          </w:tcPr>
          <w:p w14:paraId="14611DCA" w14:textId="77777777" w:rsidR="001C5F3C" w:rsidRPr="00B449BD" w:rsidRDefault="001C5F3C" w:rsidP="00053F77">
            <w:pPr>
              <w:spacing w:after="0" w:line="360" w:lineRule="auto"/>
              <w:jc w:val="both"/>
              <w:rPr>
                <w:rFonts w:ascii="Tahoma" w:eastAsia="Times New Roman" w:hAnsi="Tahoma" w:cs="Tahoma"/>
                <w:b/>
                <w:sz w:val="18"/>
                <w:szCs w:val="18"/>
                <w:lang w:eastAsia="es-ES"/>
              </w:rPr>
            </w:pPr>
            <w:r w:rsidRPr="00B449BD">
              <w:rPr>
                <w:rFonts w:ascii="Tahoma" w:eastAsia="Times New Roman" w:hAnsi="Tahoma" w:cs="Tahoma"/>
                <w:b/>
                <w:sz w:val="18"/>
                <w:szCs w:val="18"/>
                <w:lang w:eastAsia="es-ES"/>
              </w:rPr>
              <w:t>NOMBRE:</w:t>
            </w:r>
          </w:p>
          <w:p w14:paraId="6CC08441" w14:textId="77777777" w:rsidR="001C5F3C" w:rsidRPr="00B449BD" w:rsidRDefault="001C5F3C" w:rsidP="00053F77">
            <w:pPr>
              <w:spacing w:after="0" w:line="360" w:lineRule="auto"/>
              <w:jc w:val="both"/>
              <w:rPr>
                <w:rFonts w:ascii="Tahoma" w:eastAsia="Times New Roman" w:hAnsi="Tahoma" w:cs="Tahoma"/>
                <w:sz w:val="18"/>
                <w:szCs w:val="18"/>
                <w:lang w:eastAsia="es-ES"/>
              </w:rPr>
            </w:pPr>
            <w:r w:rsidRPr="00B449BD">
              <w:rPr>
                <w:rFonts w:ascii="Tahoma" w:eastAsia="Times New Roman" w:hAnsi="Tahoma" w:cs="Tahoma"/>
                <w:sz w:val="18"/>
                <w:szCs w:val="18"/>
                <w:lang w:eastAsia="es-ES"/>
              </w:rPr>
              <w:t>NAME:</w:t>
            </w:r>
          </w:p>
        </w:tc>
      </w:tr>
      <w:tr w:rsidR="001C5F3C" w:rsidRPr="00B449BD" w14:paraId="4A0CFC45" w14:textId="77777777" w:rsidTr="00053F77">
        <w:trPr>
          <w:trHeight w:val="1720"/>
        </w:trPr>
        <w:tc>
          <w:tcPr>
            <w:tcW w:w="4212" w:type="dxa"/>
          </w:tcPr>
          <w:p w14:paraId="50CB2B42" w14:textId="77777777" w:rsidR="001C5F3C" w:rsidRPr="00B449BD" w:rsidRDefault="001C5F3C" w:rsidP="00053F77">
            <w:pPr>
              <w:spacing w:after="0" w:line="360" w:lineRule="auto"/>
              <w:jc w:val="both"/>
              <w:rPr>
                <w:rFonts w:ascii="Tahoma" w:eastAsia="Times New Roman" w:hAnsi="Tahoma" w:cs="Tahoma"/>
                <w:b/>
                <w:sz w:val="18"/>
                <w:szCs w:val="18"/>
                <w:lang w:eastAsia="es-ES"/>
              </w:rPr>
            </w:pPr>
          </w:p>
          <w:p w14:paraId="1D476B21" w14:textId="77777777" w:rsidR="001C5F3C" w:rsidRPr="00B449BD" w:rsidRDefault="001C5F3C" w:rsidP="00053F77">
            <w:pPr>
              <w:spacing w:after="0" w:line="360" w:lineRule="auto"/>
              <w:jc w:val="both"/>
              <w:rPr>
                <w:rFonts w:ascii="Tahoma" w:eastAsia="Times New Roman" w:hAnsi="Tahoma" w:cs="Tahoma"/>
                <w:b/>
                <w:sz w:val="18"/>
                <w:szCs w:val="18"/>
                <w:lang w:eastAsia="es-ES"/>
              </w:rPr>
            </w:pPr>
          </w:p>
          <w:p w14:paraId="57E596E5" w14:textId="77777777" w:rsidR="001C5F3C" w:rsidRPr="00B449BD" w:rsidRDefault="001C5F3C" w:rsidP="00053F77">
            <w:pPr>
              <w:spacing w:after="0" w:line="360" w:lineRule="auto"/>
              <w:jc w:val="both"/>
              <w:rPr>
                <w:rFonts w:ascii="Tahoma" w:eastAsia="Times New Roman" w:hAnsi="Tahoma" w:cs="Tahoma"/>
                <w:b/>
                <w:sz w:val="18"/>
                <w:szCs w:val="18"/>
                <w:lang w:eastAsia="es-ES"/>
              </w:rPr>
            </w:pPr>
          </w:p>
          <w:p w14:paraId="1DDABB17" w14:textId="77777777" w:rsidR="001C5F3C" w:rsidRPr="00B449BD" w:rsidRDefault="001C5F3C" w:rsidP="00053F77">
            <w:pPr>
              <w:spacing w:after="0" w:line="360" w:lineRule="auto"/>
              <w:jc w:val="both"/>
              <w:rPr>
                <w:rFonts w:ascii="Tahoma" w:eastAsia="Times New Roman" w:hAnsi="Tahoma" w:cs="Tahoma"/>
                <w:b/>
                <w:sz w:val="18"/>
                <w:szCs w:val="18"/>
                <w:lang w:eastAsia="es-ES"/>
              </w:rPr>
            </w:pPr>
            <w:r w:rsidRPr="00B449BD">
              <w:rPr>
                <w:rFonts w:ascii="Tahoma" w:eastAsia="Times New Roman" w:hAnsi="Tahoma" w:cs="Tahoma"/>
                <w:b/>
                <w:sz w:val="18"/>
                <w:szCs w:val="18"/>
                <w:lang w:eastAsia="es-ES"/>
              </w:rPr>
              <w:t>FIRMA:</w:t>
            </w:r>
          </w:p>
          <w:p w14:paraId="6B482A69" w14:textId="77777777" w:rsidR="001C5F3C" w:rsidRPr="00B449BD" w:rsidRDefault="001C5F3C" w:rsidP="00053F77">
            <w:pPr>
              <w:spacing w:after="0" w:line="360" w:lineRule="auto"/>
              <w:jc w:val="both"/>
              <w:rPr>
                <w:rFonts w:ascii="Tahoma" w:eastAsia="Times New Roman" w:hAnsi="Tahoma" w:cs="Tahoma"/>
                <w:sz w:val="18"/>
                <w:szCs w:val="18"/>
                <w:lang w:eastAsia="es-ES"/>
              </w:rPr>
            </w:pPr>
            <w:r w:rsidRPr="00B449BD">
              <w:rPr>
                <w:rFonts w:ascii="Tahoma" w:eastAsia="Times New Roman" w:hAnsi="Tahoma" w:cs="Tahoma"/>
                <w:sz w:val="18"/>
                <w:szCs w:val="18"/>
                <w:lang w:eastAsia="es-ES"/>
              </w:rPr>
              <w:t>SIGNATURE:</w:t>
            </w:r>
          </w:p>
        </w:tc>
        <w:tc>
          <w:tcPr>
            <w:tcW w:w="4390" w:type="dxa"/>
          </w:tcPr>
          <w:p w14:paraId="4A8FDBCE" w14:textId="77777777" w:rsidR="001C5F3C" w:rsidRPr="00B449BD" w:rsidRDefault="001C5F3C" w:rsidP="00053F77">
            <w:pPr>
              <w:spacing w:after="0" w:line="360" w:lineRule="auto"/>
              <w:jc w:val="both"/>
              <w:rPr>
                <w:rFonts w:ascii="Tahoma" w:eastAsia="Times New Roman" w:hAnsi="Tahoma" w:cs="Tahoma"/>
                <w:b/>
                <w:sz w:val="18"/>
                <w:szCs w:val="18"/>
                <w:lang w:eastAsia="es-ES"/>
              </w:rPr>
            </w:pPr>
          </w:p>
          <w:p w14:paraId="0BF049C7" w14:textId="77777777" w:rsidR="001C5F3C" w:rsidRPr="00B449BD" w:rsidRDefault="001C5F3C" w:rsidP="00053F77">
            <w:pPr>
              <w:spacing w:after="0" w:line="360" w:lineRule="auto"/>
              <w:jc w:val="both"/>
              <w:rPr>
                <w:rFonts w:ascii="Tahoma" w:eastAsia="Times New Roman" w:hAnsi="Tahoma" w:cs="Tahoma"/>
                <w:b/>
                <w:sz w:val="18"/>
                <w:szCs w:val="18"/>
                <w:lang w:eastAsia="es-ES"/>
              </w:rPr>
            </w:pPr>
          </w:p>
          <w:p w14:paraId="1C4B05E7" w14:textId="77777777" w:rsidR="001C5F3C" w:rsidRPr="00B449BD" w:rsidRDefault="001C5F3C" w:rsidP="00053F77">
            <w:pPr>
              <w:spacing w:after="0" w:line="360" w:lineRule="auto"/>
              <w:jc w:val="both"/>
              <w:rPr>
                <w:rFonts w:ascii="Tahoma" w:eastAsia="Times New Roman" w:hAnsi="Tahoma" w:cs="Tahoma"/>
                <w:b/>
                <w:sz w:val="18"/>
                <w:szCs w:val="18"/>
                <w:lang w:eastAsia="es-ES"/>
              </w:rPr>
            </w:pPr>
          </w:p>
          <w:p w14:paraId="052E21A6" w14:textId="77777777" w:rsidR="001C5F3C" w:rsidRPr="00B449BD" w:rsidRDefault="001C5F3C" w:rsidP="00053F77">
            <w:pPr>
              <w:spacing w:after="0" w:line="360" w:lineRule="auto"/>
              <w:jc w:val="both"/>
              <w:rPr>
                <w:rFonts w:ascii="Tahoma" w:eastAsia="Times New Roman" w:hAnsi="Tahoma" w:cs="Tahoma"/>
                <w:b/>
                <w:sz w:val="18"/>
                <w:szCs w:val="18"/>
                <w:lang w:eastAsia="es-ES"/>
              </w:rPr>
            </w:pPr>
            <w:r w:rsidRPr="00B449BD">
              <w:rPr>
                <w:rFonts w:ascii="Tahoma" w:eastAsia="Times New Roman" w:hAnsi="Tahoma" w:cs="Tahoma"/>
                <w:b/>
                <w:sz w:val="18"/>
                <w:szCs w:val="18"/>
                <w:lang w:eastAsia="es-ES"/>
              </w:rPr>
              <w:t>FIRMA:</w:t>
            </w:r>
          </w:p>
          <w:p w14:paraId="55CD8FA8" w14:textId="77777777" w:rsidR="001C5F3C" w:rsidRPr="00B449BD" w:rsidRDefault="001C5F3C" w:rsidP="00053F77">
            <w:pPr>
              <w:spacing w:after="0" w:line="360" w:lineRule="auto"/>
              <w:jc w:val="both"/>
              <w:rPr>
                <w:rFonts w:ascii="Tahoma" w:eastAsia="Times New Roman" w:hAnsi="Tahoma" w:cs="Tahoma"/>
                <w:sz w:val="18"/>
                <w:szCs w:val="18"/>
                <w:lang w:eastAsia="es-ES"/>
              </w:rPr>
            </w:pPr>
            <w:r w:rsidRPr="00B449BD">
              <w:rPr>
                <w:rFonts w:ascii="Tahoma" w:eastAsia="Times New Roman" w:hAnsi="Tahoma" w:cs="Tahoma"/>
                <w:sz w:val="18"/>
                <w:szCs w:val="18"/>
                <w:lang w:eastAsia="es-ES"/>
              </w:rPr>
              <w:t>SIGNATURE:</w:t>
            </w:r>
          </w:p>
        </w:tc>
      </w:tr>
      <w:tr w:rsidR="001C5F3C" w:rsidRPr="00B449BD" w14:paraId="3BFB5B85" w14:textId="77777777" w:rsidTr="00053F77">
        <w:trPr>
          <w:trHeight w:val="640"/>
        </w:trPr>
        <w:tc>
          <w:tcPr>
            <w:tcW w:w="8602" w:type="dxa"/>
            <w:gridSpan w:val="2"/>
          </w:tcPr>
          <w:p w14:paraId="6F36AD8B" w14:textId="77777777" w:rsidR="001C5F3C" w:rsidRPr="00B449BD" w:rsidRDefault="001C5F3C" w:rsidP="00053F77">
            <w:pPr>
              <w:spacing w:after="0" w:line="360" w:lineRule="auto"/>
              <w:jc w:val="both"/>
              <w:rPr>
                <w:rFonts w:ascii="Tahoma" w:eastAsia="Times New Roman" w:hAnsi="Tahoma" w:cs="Tahoma"/>
                <w:b/>
                <w:sz w:val="18"/>
                <w:szCs w:val="18"/>
                <w:lang w:val="en-GB" w:eastAsia="es-ES"/>
              </w:rPr>
            </w:pPr>
            <w:r w:rsidRPr="00B449BD">
              <w:rPr>
                <w:rFonts w:ascii="Tahoma" w:eastAsia="Times New Roman" w:hAnsi="Tahoma" w:cs="Tahoma"/>
                <w:b/>
                <w:sz w:val="18"/>
                <w:szCs w:val="18"/>
                <w:lang w:val="en-GB" w:eastAsia="es-ES"/>
              </w:rPr>
              <w:t xml:space="preserve">                HORA:                                          FECHA:</w:t>
            </w:r>
          </w:p>
          <w:p w14:paraId="1FAC9C78" w14:textId="77777777" w:rsidR="001C5F3C" w:rsidRPr="00B449BD" w:rsidRDefault="001C5F3C" w:rsidP="00053F77">
            <w:pPr>
              <w:spacing w:after="0" w:line="360" w:lineRule="auto"/>
              <w:jc w:val="both"/>
              <w:rPr>
                <w:rFonts w:ascii="Tahoma" w:eastAsia="Times New Roman" w:hAnsi="Tahoma" w:cs="Tahoma"/>
                <w:sz w:val="18"/>
                <w:szCs w:val="18"/>
                <w:lang w:val="en-GB" w:eastAsia="es-ES"/>
              </w:rPr>
            </w:pPr>
            <w:r w:rsidRPr="00B449BD">
              <w:rPr>
                <w:rFonts w:ascii="Tahoma" w:eastAsia="Times New Roman" w:hAnsi="Tahoma" w:cs="Tahoma"/>
                <w:sz w:val="18"/>
                <w:szCs w:val="18"/>
                <w:lang w:val="en-GB" w:eastAsia="es-ES"/>
              </w:rPr>
              <w:t xml:space="preserve">                TIME:                                         DATE:</w:t>
            </w:r>
          </w:p>
        </w:tc>
      </w:tr>
    </w:tbl>
    <w:p w14:paraId="34F2D270" w14:textId="77777777" w:rsidR="001C5F3C" w:rsidRDefault="001C5F3C" w:rsidP="001C5F3C">
      <w:pPr>
        <w:spacing w:after="0" w:line="276" w:lineRule="auto"/>
        <w:jc w:val="both"/>
        <w:rPr>
          <w:rFonts w:ascii="Century Gothic" w:eastAsia="Times New Roman" w:hAnsi="Century Gothic" w:cstheme="minorHAnsi"/>
          <w:bCs/>
          <w:lang w:eastAsia="es-ES"/>
        </w:rPr>
      </w:pPr>
    </w:p>
    <w:p w14:paraId="627FD359" w14:textId="77777777" w:rsidR="001C5F3C" w:rsidRDefault="001C5F3C" w:rsidP="001C5F3C">
      <w:pPr>
        <w:spacing w:after="0" w:line="276" w:lineRule="auto"/>
        <w:jc w:val="both"/>
        <w:rPr>
          <w:rFonts w:ascii="Century Gothic" w:eastAsia="Times New Roman" w:hAnsi="Century Gothic" w:cstheme="minorHAnsi"/>
          <w:bCs/>
          <w:lang w:eastAsia="es-ES"/>
        </w:rPr>
      </w:pPr>
    </w:p>
    <w:p w14:paraId="5CDBF42B" w14:textId="77777777" w:rsidR="001C5F3C" w:rsidRDefault="001C5F3C" w:rsidP="001C5F3C">
      <w:pPr>
        <w:spacing w:after="0" w:line="276" w:lineRule="auto"/>
        <w:jc w:val="both"/>
        <w:rPr>
          <w:rFonts w:ascii="Century Gothic" w:eastAsia="Times New Roman" w:hAnsi="Century Gothic" w:cstheme="minorHAnsi"/>
          <w:bCs/>
          <w:lang w:eastAsia="es-ES"/>
        </w:rPr>
      </w:pPr>
    </w:p>
    <w:p w14:paraId="7C32A002" w14:textId="77777777" w:rsidR="001C5F3C" w:rsidRDefault="001C5F3C" w:rsidP="009C710D">
      <w:pPr>
        <w:spacing w:line="276" w:lineRule="auto"/>
        <w:jc w:val="both"/>
        <w:rPr>
          <w:rFonts w:ascii="Century Gothic" w:eastAsia="Times New Roman" w:hAnsi="Century Gothic" w:cstheme="minorHAnsi"/>
          <w:bCs/>
          <w:lang w:eastAsia="es-ES"/>
        </w:rPr>
      </w:pPr>
    </w:p>
    <w:p w14:paraId="2A0D70BA" w14:textId="77777777" w:rsidR="001C5F3C" w:rsidRDefault="001C5F3C" w:rsidP="009C710D">
      <w:pPr>
        <w:spacing w:line="276" w:lineRule="auto"/>
        <w:jc w:val="both"/>
        <w:rPr>
          <w:rFonts w:ascii="Century Gothic" w:eastAsia="Times New Roman" w:hAnsi="Century Gothic" w:cstheme="minorHAnsi"/>
          <w:bCs/>
          <w:lang w:eastAsia="es-ES"/>
        </w:rPr>
      </w:pPr>
    </w:p>
    <w:p w14:paraId="029DE9B6" w14:textId="77777777" w:rsidR="001C5F3C" w:rsidRDefault="001C5F3C" w:rsidP="009C710D">
      <w:pPr>
        <w:spacing w:line="276" w:lineRule="auto"/>
        <w:jc w:val="both"/>
        <w:rPr>
          <w:rFonts w:ascii="Century Gothic" w:eastAsia="Times New Roman" w:hAnsi="Century Gothic" w:cstheme="minorHAnsi"/>
          <w:bCs/>
          <w:lang w:eastAsia="es-ES"/>
        </w:rPr>
      </w:pPr>
    </w:p>
    <w:p w14:paraId="61A2DEC3" w14:textId="77777777" w:rsidR="001C5F3C" w:rsidRDefault="001C5F3C" w:rsidP="009C710D">
      <w:pPr>
        <w:spacing w:line="276" w:lineRule="auto"/>
        <w:jc w:val="both"/>
        <w:rPr>
          <w:rFonts w:ascii="Century Gothic" w:eastAsia="Times New Roman" w:hAnsi="Century Gothic" w:cstheme="minorHAnsi"/>
          <w:bCs/>
          <w:lang w:eastAsia="es-ES"/>
        </w:rPr>
      </w:pPr>
    </w:p>
    <w:p w14:paraId="71C6FEB8" w14:textId="77777777" w:rsidR="009C710D" w:rsidRDefault="009C710D" w:rsidP="009C710D">
      <w:pPr>
        <w:spacing w:after="0" w:line="276" w:lineRule="auto"/>
        <w:jc w:val="both"/>
        <w:rPr>
          <w:rFonts w:ascii="Century Gothic" w:eastAsia="Times New Roman" w:hAnsi="Century Gothic" w:cstheme="minorHAnsi"/>
          <w:bCs/>
          <w:lang w:eastAsia="es-ES"/>
        </w:rPr>
      </w:pPr>
    </w:p>
    <w:p w14:paraId="7A26DB71" w14:textId="77777777" w:rsidR="009C710D" w:rsidRDefault="009C710D" w:rsidP="009C710D">
      <w:pPr>
        <w:spacing w:after="0" w:line="276" w:lineRule="auto"/>
        <w:jc w:val="both"/>
        <w:rPr>
          <w:rFonts w:ascii="Century Gothic" w:eastAsia="Times New Roman" w:hAnsi="Century Gothic" w:cstheme="minorHAnsi"/>
          <w:bCs/>
          <w:lang w:eastAsia="es-ES"/>
        </w:rPr>
      </w:pPr>
    </w:p>
    <w:p w14:paraId="3FBD6EF8" w14:textId="77777777" w:rsidR="009C710D" w:rsidRDefault="009C710D" w:rsidP="009C710D">
      <w:pPr>
        <w:spacing w:after="0" w:line="276" w:lineRule="auto"/>
        <w:jc w:val="both"/>
        <w:rPr>
          <w:rFonts w:ascii="Century Gothic" w:eastAsia="Times New Roman" w:hAnsi="Century Gothic" w:cstheme="minorHAnsi"/>
          <w:bCs/>
          <w:lang w:eastAsia="es-ES"/>
        </w:rPr>
      </w:pPr>
    </w:p>
    <w:p w14:paraId="6156EFBE" w14:textId="77777777" w:rsidR="009C710D" w:rsidRDefault="009C710D" w:rsidP="009C710D">
      <w:pPr>
        <w:rPr>
          <w:rFonts w:ascii="Century Gothic" w:eastAsia="Times New Roman" w:hAnsi="Century Gothic" w:cstheme="minorHAnsi"/>
          <w:bCs/>
          <w:lang w:eastAsia="es-ES"/>
        </w:rPr>
      </w:pPr>
      <w:r>
        <w:rPr>
          <w:rFonts w:ascii="Century Gothic" w:eastAsia="Times New Roman" w:hAnsi="Century Gothic" w:cstheme="minorHAnsi"/>
          <w:bCs/>
          <w:lang w:eastAsia="es-ES"/>
        </w:rPr>
        <w:br w:type="page"/>
      </w:r>
    </w:p>
    <w:p w14:paraId="6272C41B" w14:textId="302D5FE9" w:rsidR="00211AE2" w:rsidRPr="00D15E23" w:rsidRDefault="00211AE2" w:rsidP="00211AE2">
      <w:pPr>
        <w:pStyle w:val="Ttulo1"/>
        <w:jc w:val="both"/>
        <w:rPr>
          <w:rFonts w:ascii="Century Gothic" w:eastAsia="Times New Roman" w:hAnsi="Century Gothic" w:cs="Calibri"/>
          <w:b w:val="0"/>
          <w:color w:val="2F5496"/>
        </w:rPr>
      </w:pPr>
      <w:bookmarkStart w:id="47" w:name="_Toc230677716"/>
      <w:r w:rsidRPr="00D15E23">
        <w:rPr>
          <w:rFonts w:ascii="Century Gothic" w:eastAsia="Times New Roman" w:hAnsi="Century Gothic" w:cs="Calibri"/>
          <w:color w:val="2F5496"/>
        </w:rPr>
        <w:lastRenderedPageBreak/>
        <w:t xml:space="preserve">ANEXO I MODALIDAD PTS: CONDICIONES TÉCNICAS PARA LA PRESTACIÓN DEL SERVICIO DE SUMINISTRO DE </w:t>
      </w:r>
      <w:r w:rsidR="002539CF" w:rsidRPr="00D263BB">
        <w:rPr>
          <w:rFonts w:ascii="Century Gothic" w:hAnsi="Century Gothic" w:cstheme="minorHAnsi"/>
        </w:rPr>
        <w:t>GNL</w:t>
      </w:r>
      <w:r w:rsidR="002539CF">
        <w:rPr>
          <w:rFonts w:ascii="Century Gothic" w:hAnsi="Century Gothic" w:cstheme="minorHAnsi"/>
        </w:rPr>
        <w:t>, BioGNL y e-GNL</w:t>
      </w:r>
      <w:r w:rsidRPr="00D15E23">
        <w:rPr>
          <w:rFonts w:ascii="Century Gothic" w:eastAsia="Times New Roman" w:hAnsi="Century Gothic" w:cs="Calibri"/>
          <w:color w:val="2F5496"/>
        </w:rPr>
        <w:t xml:space="preserve"> A BUQUES COMO COMBUSTIBLE</w:t>
      </w:r>
      <w:bookmarkEnd w:id="47"/>
    </w:p>
    <w:p w14:paraId="67DA30E0" w14:textId="77777777" w:rsidR="00211AE2" w:rsidRPr="00524EF1" w:rsidRDefault="00211AE2" w:rsidP="00211AE2">
      <w:pPr>
        <w:jc w:val="both"/>
        <w:rPr>
          <w:rFonts w:ascii="Calibri" w:hAnsi="Calibri" w:cs="Calibri"/>
        </w:rPr>
      </w:pPr>
    </w:p>
    <w:p w14:paraId="3891DEE3" w14:textId="475A59E2" w:rsidR="00211AE2" w:rsidRPr="00080432" w:rsidRDefault="00211AE2" w:rsidP="006965D8">
      <w:pPr>
        <w:pStyle w:val="Prrafodelista"/>
        <w:numPr>
          <w:ilvl w:val="0"/>
          <w:numId w:val="34"/>
        </w:numPr>
        <w:spacing w:after="240" w:line="240" w:lineRule="auto"/>
        <w:ind w:left="425" w:hanging="357"/>
        <w:contextualSpacing w:val="0"/>
        <w:jc w:val="both"/>
        <w:rPr>
          <w:rFonts w:ascii="Century Gothic" w:hAnsi="Century Gothic" w:cs="Calibri"/>
          <w:b/>
          <w:bCs/>
        </w:rPr>
      </w:pPr>
      <w:r w:rsidRPr="00080432">
        <w:rPr>
          <w:rFonts w:ascii="Century Gothic" w:hAnsi="Century Gothic" w:cs="Calibri"/>
          <w:b/>
          <w:bCs/>
        </w:rPr>
        <w:t>Actividades previas al suministro</w:t>
      </w:r>
      <w:r w:rsidR="00962824">
        <w:rPr>
          <w:rFonts w:ascii="Century Gothic" w:hAnsi="Century Gothic" w:cs="Calibri"/>
          <w:b/>
          <w:bCs/>
        </w:rPr>
        <w:t xml:space="preserve"> de GNL PTS</w:t>
      </w:r>
    </w:p>
    <w:p w14:paraId="4F207851" w14:textId="77777777" w:rsidR="00211AE2" w:rsidRPr="00080432" w:rsidRDefault="00211AE2" w:rsidP="006965D8">
      <w:pPr>
        <w:pStyle w:val="Prrafodelista"/>
        <w:numPr>
          <w:ilvl w:val="1"/>
          <w:numId w:val="34"/>
        </w:numPr>
        <w:spacing w:after="240"/>
        <w:ind w:left="714" w:hanging="357"/>
        <w:contextualSpacing w:val="0"/>
        <w:jc w:val="both"/>
        <w:rPr>
          <w:rFonts w:ascii="Century Gothic" w:hAnsi="Century Gothic" w:cs="Calibri"/>
          <w:b/>
          <w:bCs/>
        </w:rPr>
      </w:pPr>
      <w:r w:rsidRPr="00080432">
        <w:rPr>
          <w:rFonts w:ascii="Century Gothic" w:hAnsi="Century Gothic" w:cs="Calibri"/>
          <w:b/>
          <w:bCs/>
        </w:rPr>
        <w:t>Compatibilidad buque-terminal</w:t>
      </w:r>
    </w:p>
    <w:p w14:paraId="2BB48AB4" w14:textId="77777777" w:rsidR="00211AE2" w:rsidRPr="00080432" w:rsidRDefault="00211AE2" w:rsidP="00211AE2">
      <w:pPr>
        <w:jc w:val="both"/>
        <w:rPr>
          <w:rFonts w:ascii="Century Gothic" w:hAnsi="Century Gothic" w:cs="Calibri"/>
        </w:rPr>
      </w:pPr>
      <w:r w:rsidRPr="00080432">
        <w:rPr>
          <w:rFonts w:ascii="Century Gothic" w:hAnsi="Century Gothic" w:cs="Calibri"/>
        </w:rPr>
        <w:t>La solicitud de suministro por parte de un buque al prestador del servicio deberá ir acompañada de la siguiente información:</w:t>
      </w:r>
    </w:p>
    <w:p w14:paraId="4839D59C"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Identificación del buque (nombre e IMO)</w:t>
      </w:r>
    </w:p>
    <w:p w14:paraId="6DC4A0AE"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Fecha de suministro y previsión de horario</w:t>
      </w:r>
    </w:p>
    <w:p w14:paraId="2B551957"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Cantidad a suministrar</w:t>
      </w:r>
    </w:p>
    <w:p w14:paraId="7AB9E842"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Plano de disposición general del buque</w:t>
      </w:r>
    </w:p>
    <w:p w14:paraId="49101B05"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Plano de cubiertas de amarre del buque</w:t>
      </w:r>
    </w:p>
    <w:p w14:paraId="09E97027"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Plano de estación de bunker con detalle de localización y disposición del manifold (L,V).</w:t>
      </w:r>
      <w:r>
        <w:rPr>
          <w:rFonts w:ascii="Century Gothic" w:hAnsi="Century Gothic" w:cs="Calibri"/>
        </w:rPr>
        <w:t xml:space="preserve"> </w:t>
      </w:r>
      <w:r w:rsidRPr="00080432">
        <w:rPr>
          <w:rFonts w:ascii="Century Gothic" w:hAnsi="Century Gothic" w:cs="Calibri"/>
        </w:rPr>
        <w:t>Disposición de la estación de búnker en el buque</w:t>
      </w:r>
    </w:p>
    <w:p w14:paraId="5B8039C5"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Características básicas del sistema de GNL del buque (tipología de conexión de brida y/o acople seco, número y capacidad de tanques, presiones normales y máximas de operación)</w:t>
      </w:r>
    </w:p>
    <w:p w14:paraId="61351DD8" w14:textId="77777777" w:rsidR="00211AE2" w:rsidRPr="001F7DB4" w:rsidRDefault="00211AE2" w:rsidP="006965D8">
      <w:pPr>
        <w:pStyle w:val="Prrafodelista"/>
        <w:numPr>
          <w:ilvl w:val="0"/>
          <w:numId w:val="35"/>
        </w:numPr>
        <w:jc w:val="both"/>
        <w:rPr>
          <w:rFonts w:ascii="Century Gothic" w:hAnsi="Century Gothic" w:cs="Calibri"/>
        </w:rPr>
      </w:pPr>
      <w:r w:rsidRPr="001F7DB4">
        <w:rPr>
          <w:rFonts w:ascii="Century Gothic" w:hAnsi="Century Gothic" w:cs="Calibri"/>
        </w:rPr>
        <w:t>Documentación requerida al buque: “</w:t>
      </w:r>
      <w:r w:rsidRPr="001F7DB4">
        <w:rPr>
          <w:rFonts w:ascii="Century Gothic" w:hAnsi="Century Gothic" w:cs="Calibri"/>
          <w:i/>
          <w:iCs/>
        </w:rPr>
        <w:t>Class Status Report</w:t>
      </w:r>
      <w:r w:rsidRPr="001F7DB4">
        <w:rPr>
          <w:rFonts w:ascii="Century Gothic" w:hAnsi="Century Gothic" w:cs="Calibri"/>
        </w:rPr>
        <w:t>”, “</w:t>
      </w:r>
      <w:r w:rsidRPr="001F7DB4">
        <w:rPr>
          <w:rFonts w:ascii="Century Gothic" w:hAnsi="Century Gothic" w:cs="Calibri"/>
          <w:i/>
          <w:iCs/>
        </w:rPr>
        <w:t>Listing of Survey Conditions of Class and Memoranda</w:t>
      </w:r>
      <w:r w:rsidRPr="001F7DB4">
        <w:rPr>
          <w:rFonts w:ascii="Century Gothic" w:hAnsi="Century Gothic" w:cs="Calibri"/>
        </w:rPr>
        <w:t>”, “</w:t>
      </w:r>
      <w:r w:rsidRPr="001F7DB4">
        <w:rPr>
          <w:rFonts w:ascii="Century Gothic" w:hAnsi="Century Gothic" w:cs="Calibri"/>
          <w:i/>
          <w:iCs/>
        </w:rPr>
        <w:t>Certificate of P &amp; I Full Entry</w:t>
      </w:r>
      <w:r w:rsidRPr="001F7DB4">
        <w:rPr>
          <w:rFonts w:ascii="Century Gothic" w:hAnsi="Century Gothic" w:cs="Calibri"/>
        </w:rPr>
        <w:t>”, Crew list (formato IMO FAL Form 5) ,  certificados de formación IGF del personal de abordo, SIRE and/or CDI report (cuando aplique)</w:t>
      </w:r>
    </w:p>
    <w:p w14:paraId="4DC6DB28"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Descripción de otras operaciones simultáneas que el buque pretenda realizar (si procede)</w:t>
      </w:r>
    </w:p>
    <w:p w14:paraId="60D278C1" w14:textId="77777777" w:rsidR="00211AE2" w:rsidRPr="00080432" w:rsidRDefault="00211AE2" w:rsidP="00211AE2">
      <w:pPr>
        <w:jc w:val="both"/>
        <w:rPr>
          <w:rFonts w:ascii="Century Gothic" w:hAnsi="Century Gothic" w:cs="Calibri"/>
        </w:rPr>
      </w:pPr>
      <w:r w:rsidRPr="00080432">
        <w:rPr>
          <w:rFonts w:ascii="Century Gothic" w:hAnsi="Century Gothic" w:cs="Calibri"/>
        </w:rPr>
        <w:t>Con esta información se deberá realizar el análisis de compatibilidad buque-terminal:</w:t>
      </w:r>
    </w:p>
    <w:p w14:paraId="056F5B2F"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Compatibilidad geométrica y propuesta de amarre, contrastando los planos del buque con las características del muelle (defensas, norays, ganchos, …)</w:t>
      </w:r>
    </w:p>
    <w:p w14:paraId="1C09D01A"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 xml:space="preserve">Compatibilidad de accesos al buque. </w:t>
      </w:r>
    </w:p>
    <w:p w14:paraId="3F81277F"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Compatibilidad física con el sistema de transferencia (bridas, acoples secos, longitud y disposición de espacios para mangueras…)</w:t>
      </w:r>
    </w:p>
    <w:p w14:paraId="58D519DD"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Se acordará por escrito la compatibilidad entre la presión máxima posible de entrega y la presión de diseño de la línea de bunkering del buque.</w:t>
      </w:r>
    </w:p>
    <w:p w14:paraId="024E0E41"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 xml:space="preserve">Autorización para el uso de otros medios de acceso al buque como rampas, escalas reales etc., en zonas previamente acordadas.  </w:t>
      </w:r>
    </w:p>
    <w:p w14:paraId="0785745C" w14:textId="77777777" w:rsidR="00211AE2" w:rsidRPr="00080432" w:rsidRDefault="00211AE2" w:rsidP="00211AE2">
      <w:pPr>
        <w:jc w:val="both"/>
        <w:rPr>
          <w:rFonts w:ascii="Century Gothic" w:hAnsi="Century Gothic" w:cs="Calibri"/>
        </w:rPr>
      </w:pPr>
      <w:r w:rsidRPr="00080432">
        <w:rPr>
          <w:rFonts w:ascii="Century Gothic" w:hAnsi="Century Gothic" w:cs="Calibri"/>
        </w:rPr>
        <w:t xml:space="preserve">La estación de búnker se podrá en contacto con el buque para acordar el procedimiento detallado de suministro y la operativa a seguir. Además de la descripción de las actividades, se deberá acordar el sistema de medición de la energía a transferir. Deberá disponer de un caudalímetro con certificación fiscal y un analizador que permita calcular la composición del GNL transferido y/o su poder calorífico, salvo que se acuerde otro método entre las partes. Se destaca que los movimientos económicos de las operaciones con GNL tienen lugar en unidades </w:t>
      </w:r>
      <w:r w:rsidRPr="00080432">
        <w:rPr>
          <w:rFonts w:ascii="Century Gothic" w:hAnsi="Century Gothic" w:cs="Calibri"/>
        </w:rPr>
        <w:lastRenderedPageBreak/>
        <w:t>energéticas, y es necesario medir la energía que se transfiere y acordar con el buque receptor cómo se hará esa medición.</w:t>
      </w:r>
    </w:p>
    <w:p w14:paraId="25CDAF5D" w14:textId="77777777" w:rsidR="00211AE2" w:rsidRPr="00080432" w:rsidRDefault="00211AE2" w:rsidP="00211AE2">
      <w:pPr>
        <w:jc w:val="both"/>
        <w:rPr>
          <w:rFonts w:ascii="Century Gothic" w:hAnsi="Century Gothic" w:cs="Calibri"/>
        </w:rPr>
      </w:pPr>
      <w:r w:rsidRPr="00080432">
        <w:rPr>
          <w:rFonts w:ascii="Century Gothic" w:hAnsi="Century Gothic" w:cs="Calibri"/>
        </w:rPr>
        <w:t>La terminal realizará la comprobación del equipo de amarre en la fase de compatibilidad, así como los sistemas de transferencia, brazos de carga y mangueras de suministro con tiempo suficiente para poder tener así margen de acción y corregir las deficiencias encontradas o en otro caso abortar la operación.</w:t>
      </w:r>
    </w:p>
    <w:p w14:paraId="5ECD4742" w14:textId="77777777" w:rsidR="00211AE2" w:rsidRPr="00080432" w:rsidRDefault="00211AE2" w:rsidP="006965D8">
      <w:pPr>
        <w:pStyle w:val="Prrafodelista"/>
        <w:numPr>
          <w:ilvl w:val="1"/>
          <w:numId w:val="34"/>
        </w:numPr>
        <w:spacing w:after="240"/>
        <w:ind w:left="714" w:hanging="357"/>
        <w:contextualSpacing w:val="0"/>
        <w:jc w:val="both"/>
        <w:rPr>
          <w:rFonts w:ascii="Century Gothic" w:hAnsi="Century Gothic" w:cs="Calibri"/>
          <w:b/>
          <w:bCs/>
        </w:rPr>
      </w:pPr>
      <w:r w:rsidRPr="00080432">
        <w:rPr>
          <w:rFonts w:ascii="Century Gothic" w:hAnsi="Century Gothic" w:cs="Calibri"/>
          <w:b/>
          <w:bCs/>
        </w:rPr>
        <w:t>Comunicación a las Autoridades</w:t>
      </w:r>
      <w:r>
        <w:rPr>
          <w:rFonts w:ascii="Century Gothic" w:hAnsi="Century Gothic" w:cs="Calibri"/>
          <w:b/>
          <w:bCs/>
        </w:rPr>
        <w:t xml:space="preserve"> Portuaria y Marítima</w:t>
      </w:r>
    </w:p>
    <w:p w14:paraId="0433A0AF" w14:textId="77777777" w:rsidR="00211AE2" w:rsidRPr="00080432" w:rsidRDefault="00211AE2" w:rsidP="00211AE2">
      <w:pPr>
        <w:jc w:val="both"/>
        <w:rPr>
          <w:rFonts w:ascii="Century Gothic" w:hAnsi="Century Gothic" w:cs="Calibri"/>
        </w:rPr>
      </w:pPr>
      <w:r w:rsidRPr="00080432">
        <w:rPr>
          <w:rFonts w:ascii="Century Gothic" w:hAnsi="Century Gothic" w:cs="Calibri"/>
        </w:rPr>
        <w:t>Si el buque pretende realizar operaciones simultáneas al abastecimiento de GNL, el prestador del servicio coordinará con la Autoridad Portuaria y, a través de esta, con Capitanía Marítima, el análisis de estas operaciones y sus riesgos asociados, para recabar su autorización previa al abastecimiento y estará sujeta a la aprobación previa por parte de la terminal.</w:t>
      </w:r>
    </w:p>
    <w:p w14:paraId="4BA8125F" w14:textId="77777777" w:rsidR="00211AE2" w:rsidRPr="00080432" w:rsidRDefault="00211AE2" w:rsidP="00211AE2">
      <w:pPr>
        <w:jc w:val="both"/>
        <w:rPr>
          <w:rFonts w:ascii="Century Gothic" w:hAnsi="Century Gothic" w:cs="Calibri"/>
        </w:rPr>
      </w:pPr>
      <w:r w:rsidRPr="00080432">
        <w:rPr>
          <w:rFonts w:ascii="Century Gothic" w:hAnsi="Century Gothic" w:cs="Calibri"/>
        </w:rPr>
        <w:t>Con una antelación de 24 h, el prestador del servicio deberá comunicar a la Autoridad Portuaria y a los servicios aduaneros (por temas fiscales) la siguiente información básica:</w:t>
      </w:r>
    </w:p>
    <w:p w14:paraId="09D59437"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Nombre e IMO del buque</w:t>
      </w:r>
    </w:p>
    <w:p w14:paraId="61A3C351"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Muelle o atraque de realización del suministro</w:t>
      </w:r>
    </w:p>
    <w:p w14:paraId="6288E340"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ETA estimado de llegada del buque a suministra</w:t>
      </w:r>
    </w:p>
    <w:p w14:paraId="3882EC83"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N.º de escala asignado a dicho buque (en el momento de disponerse)</w:t>
      </w:r>
    </w:p>
    <w:p w14:paraId="11B82466"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Cantidad estimada a suministrar</w:t>
      </w:r>
    </w:p>
    <w:p w14:paraId="6059297B"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Hora estimada de inicio de la operación y duración estimada</w:t>
      </w:r>
    </w:p>
    <w:p w14:paraId="57993803"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Agente consignatario</w:t>
      </w:r>
    </w:p>
    <w:p w14:paraId="2C06AD3F" w14:textId="77777777" w:rsidR="00211AE2" w:rsidRPr="00080432" w:rsidRDefault="00211AE2" w:rsidP="006965D8">
      <w:pPr>
        <w:pStyle w:val="Prrafodelista"/>
        <w:numPr>
          <w:ilvl w:val="0"/>
          <w:numId w:val="35"/>
        </w:numPr>
        <w:jc w:val="both"/>
        <w:rPr>
          <w:rFonts w:ascii="Century Gothic" w:hAnsi="Century Gothic" w:cs="Calibri"/>
        </w:rPr>
      </w:pPr>
      <w:r w:rsidRPr="00080432">
        <w:rPr>
          <w:rFonts w:ascii="Century Gothic" w:hAnsi="Century Gothic" w:cs="Calibri"/>
        </w:rPr>
        <w:t>Simultaneidad con otras operaciones del buque</w:t>
      </w:r>
    </w:p>
    <w:p w14:paraId="173121C8" w14:textId="77777777" w:rsidR="00211AE2" w:rsidRPr="00080432" w:rsidRDefault="00211AE2" w:rsidP="00211AE2">
      <w:pPr>
        <w:jc w:val="both"/>
        <w:rPr>
          <w:rFonts w:ascii="Century Gothic" w:hAnsi="Century Gothic" w:cs="Calibri"/>
        </w:rPr>
      </w:pPr>
      <w:r w:rsidRPr="00080432">
        <w:rPr>
          <w:rFonts w:ascii="Century Gothic" w:hAnsi="Century Gothic" w:cs="Calibri"/>
        </w:rPr>
        <w:t>Es necesario conocer el tipo de rutas que realizará el buque: tráfico nacional o internacional. Así será posible realizar un correcto tratamiento fiscal del combustible GNL a suministrar.</w:t>
      </w:r>
    </w:p>
    <w:p w14:paraId="52E9AB9B" w14:textId="77777777" w:rsidR="00211AE2" w:rsidRPr="00080432" w:rsidRDefault="00211AE2" w:rsidP="006965D8">
      <w:pPr>
        <w:pStyle w:val="Prrafodelista"/>
        <w:numPr>
          <w:ilvl w:val="0"/>
          <w:numId w:val="34"/>
        </w:numPr>
        <w:spacing w:after="240" w:line="240" w:lineRule="auto"/>
        <w:ind w:left="425" w:hanging="357"/>
        <w:contextualSpacing w:val="0"/>
        <w:jc w:val="both"/>
        <w:rPr>
          <w:rFonts w:ascii="Century Gothic" w:hAnsi="Century Gothic" w:cs="Calibri"/>
          <w:b/>
          <w:bCs/>
        </w:rPr>
      </w:pPr>
      <w:r w:rsidRPr="00080432">
        <w:rPr>
          <w:rFonts w:ascii="Century Gothic" w:hAnsi="Century Gothic" w:cs="Calibri"/>
          <w:b/>
          <w:bCs/>
        </w:rPr>
        <w:t>Operación de suministro</w:t>
      </w:r>
    </w:p>
    <w:p w14:paraId="69692AC1" w14:textId="77777777" w:rsidR="00211AE2" w:rsidRPr="00080432" w:rsidRDefault="00211AE2" w:rsidP="006965D8">
      <w:pPr>
        <w:pStyle w:val="Prrafodelista"/>
        <w:numPr>
          <w:ilvl w:val="1"/>
          <w:numId w:val="34"/>
        </w:numPr>
        <w:spacing w:after="240"/>
        <w:contextualSpacing w:val="0"/>
        <w:jc w:val="both"/>
        <w:rPr>
          <w:rFonts w:ascii="Century Gothic" w:hAnsi="Century Gothic" w:cs="Calibri"/>
          <w:b/>
          <w:bCs/>
        </w:rPr>
      </w:pPr>
      <w:r w:rsidRPr="00080432">
        <w:rPr>
          <w:rFonts w:ascii="Century Gothic" w:hAnsi="Century Gothic" w:cs="Calibri"/>
          <w:b/>
          <w:bCs/>
        </w:rPr>
        <w:t>Operaciones iniciales</w:t>
      </w:r>
    </w:p>
    <w:p w14:paraId="029A18F7" w14:textId="77777777" w:rsidR="00211AE2" w:rsidRPr="00080432" w:rsidRDefault="00211AE2" w:rsidP="00211AE2">
      <w:pPr>
        <w:jc w:val="both"/>
        <w:rPr>
          <w:rFonts w:ascii="Century Gothic" w:hAnsi="Century Gothic" w:cs="Calibri"/>
        </w:rPr>
      </w:pPr>
      <w:r w:rsidRPr="00080432">
        <w:rPr>
          <w:rFonts w:ascii="Century Gothic" w:hAnsi="Century Gothic" w:cs="Calibri"/>
        </w:rPr>
        <w:t>Realizados los trámites administrativos asociados al suministro y verificada la compatibilidad para el suministro con todos los resultados positivos, el buque realiza la entrada en puerto y el acercamiento y atraque en el punto destinado.</w:t>
      </w:r>
    </w:p>
    <w:p w14:paraId="6CBC6FF4" w14:textId="77777777" w:rsidR="00211AE2" w:rsidRPr="00080432" w:rsidRDefault="00211AE2" w:rsidP="00211AE2">
      <w:pPr>
        <w:jc w:val="both"/>
        <w:rPr>
          <w:rFonts w:ascii="Century Gothic" w:hAnsi="Century Gothic" w:cs="Calibri"/>
          <w:lang w:val="es-ES_tradnl"/>
        </w:rPr>
      </w:pPr>
      <w:r w:rsidRPr="00080432">
        <w:rPr>
          <w:rFonts w:ascii="Century Gothic" w:hAnsi="Century Gothic" w:cs="Calibri"/>
          <w:lang w:val="es-ES_tradnl"/>
        </w:rPr>
        <w:t>Una vez que las líneas de amarre estén aseguradas de acuerdo con el plan de amarre, se habilitará el medio seguro de acceso al buque que previamente se haya acordado.</w:t>
      </w:r>
    </w:p>
    <w:p w14:paraId="141FD4A3" w14:textId="77777777" w:rsidR="00211AE2" w:rsidRPr="00080432" w:rsidRDefault="00211AE2" w:rsidP="00211AE2">
      <w:pPr>
        <w:jc w:val="both"/>
        <w:rPr>
          <w:rFonts w:ascii="Century Gothic" w:hAnsi="Century Gothic" w:cs="Calibri"/>
        </w:rPr>
      </w:pPr>
      <w:r w:rsidRPr="00080432">
        <w:rPr>
          <w:rFonts w:ascii="Century Gothic" w:hAnsi="Century Gothic" w:cs="Calibri"/>
        </w:rPr>
        <w:t>Con el barco seguro y atracado, se inician las operaciones de suministro:</w:t>
      </w:r>
    </w:p>
    <w:p w14:paraId="242D3879"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Se debe marcar y/o balizar la zona de seguridad y exclusión alrededor del punto de suministro de forma que el acceso a esa zona solo se permita a personal autorizado, según los estudios de dispersión y seguridad realizados, salvo en las plantas donde ese espacio ya esté delimitado. No estará </w:t>
      </w:r>
      <w:r w:rsidRPr="00080432">
        <w:rPr>
          <w:rFonts w:ascii="Century Gothic" w:hAnsi="Century Gothic" w:cs="Calibri"/>
        </w:rPr>
        <w:lastRenderedPageBreak/>
        <w:t>permitido el uso de potenciales fuentes de ignición en esa área tales como elementos con llama o dispositivos eléctricos no ATEX.</w:t>
      </w:r>
    </w:p>
    <w:p w14:paraId="75DC49D4"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Si la operación de suministro es una operación singular, se debe realizar una reunión inicial de seguridad en la que se repasa todo el procedimiento de suministro acordado, el personal involucrado por parte del buque y por tierra, se explica el intercambio de documentación y se destacan las actuaciones esenciales en caso de emergencia. Para operaciones repetitivas, esta reunión inicial se sustituye por reuniones periódicas en las que participe el mismo personal involucrado y con similar contenido. </w:t>
      </w:r>
    </w:p>
    <w:p w14:paraId="1F093BFC"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Por temas impositivos, es necesario identificar el puerto de destino del buque y el tipo de ruta a la que se destinará el combustible GNL: tráfico nacional o tráfico internacional.</w:t>
      </w:r>
    </w:p>
    <w:p w14:paraId="404EF0AA"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entrega al buque la hoja de datos de seguridad del GNL, en la que se describen sus características esenciales, sus peligros y los modos de actuar ante incidentes (primeros auxilios, lucha contra incendios, actuación ante vertidos), etc.</w:t>
      </w:r>
    </w:p>
    <w:p w14:paraId="2F73737D"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establece un sistema de comunicación entre buque y la estación de búnker de GNL. Es habitual que la comunicación base sea mediante radio, fijándose un determinado canal de UHF o VHF; se comprueba que este sistema es operativo entre la zona de transferencia de tierra y la sala de control de búnker del buque. Se debe contar con un sistema secundario de comunicación, ya sea otro sistema de radio o, más habitualmente, telefonía móvil.</w:t>
      </w:r>
    </w:p>
    <w:p w14:paraId="7B22520E"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realiza la conexión del sistema de transferencia, ya sean mangueras flexibles o brazos rígidos articulados. Ambos sistemas deben disponer de dispositivos de seguridad, tales como:</w:t>
      </w:r>
    </w:p>
    <w:p w14:paraId="6EB2E682"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Acoplamientos secos de desconexión rápida</w:t>
      </w:r>
    </w:p>
    <w:p w14:paraId="6041FA24"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Dispositivo de rotura segura (ERS-breakaway), preferentemente de actuación externa por cable o neumática y no por simple tracción</w:t>
      </w:r>
    </w:p>
    <w:p w14:paraId="5E262D17"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Dispositivo aislante galvánico</w:t>
      </w:r>
    </w:p>
    <w:p w14:paraId="799CA86A"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Se realiza la conexión del sistema de enclavamiento de seguridad, ya sea eléctrico, neumático o por fibra óptica. Este sistema permitirá desencadenar una parada segura de la transferencia en caso de que la operativa se desvíe de los parámetros de diseño tanto en tierra como en el buque, en caso de que el caudal sea mayor de 100 m3/h. </w:t>
      </w:r>
    </w:p>
    <w:p w14:paraId="09F5DB47" w14:textId="77777777" w:rsidR="00211AE2" w:rsidRPr="00080432" w:rsidRDefault="00211AE2" w:rsidP="00211AE2">
      <w:pPr>
        <w:pStyle w:val="Prrafodelista"/>
        <w:ind w:left="714"/>
        <w:contextualSpacing w:val="0"/>
        <w:jc w:val="both"/>
        <w:rPr>
          <w:rFonts w:ascii="Century Gothic" w:hAnsi="Century Gothic" w:cs="Calibri"/>
        </w:rPr>
      </w:pPr>
      <w:r w:rsidRPr="00080432">
        <w:rPr>
          <w:rFonts w:ascii="Century Gothic" w:hAnsi="Century Gothic" w:cs="Calibri"/>
        </w:rPr>
        <w:t>En caso de no utilizarse un cable de comunicación entre la terminal y el buque, que haría posible que el personal de operaciones de la terminal pudiese monitorizar el estado del tanque receptor, se recomienda que el ROS permanezca en el buque receptor hasta que la operación de carga llegue a las condiciones de régimen nominal o que esté en contacto permanente con el responsable del buque.</w:t>
      </w:r>
    </w:p>
    <w:p w14:paraId="37E9F482"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lastRenderedPageBreak/>
        <w:t>Se intercambian los parámetros básicos de la operación y se recogen en un documento denominado preacuerdo de suministro:</w:t>
      </w:r>
    </w:p>
    <w:p w14:paraId="2555DE2B"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Fecha</w:t>
      </w:r>
    </w:p>
    <w:p w14:paraId="6A38E146"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Volumen a suministrar, verificando que hay capacidad suficiente en los tanques del buque</w:t>
      </w:r>
    </w:p>
    <w:p w14:paraId="2327297A"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Presión y caudal de suministro</w:t>
      </w:r>
    </w:p>
    <w:p w14:paraId="306EE824"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Características básicas del GNL a suministrar: densidad, poder calorífico, temperatura y presión del almacenamiento en tierra</w:t>
      </w:r>
    </w:p>
    <w:p w14:paraId="29CC771C"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Relación de operaciones simultáneas previstas</w:t>
      </w:r>
    </w:p>
    <w:p w14:paraId="24023255"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Completada la conexión entre buque y tierra se rellena la lista de comprobaciones (Check-List), verificando que todo está conforme al diseño de la operación (ver anexo). Esta lista deberá ser firmada por parte del buque y del personal de la estación de búnker y se archivará.</w:t>
      </w:r>
    </w:p>
    <w:p w14:paraId="0351B376" w14:textId="77777777" w:rsidR="00211AE2" w:rsidRPr="00080432" w:rsidRDefault="00211AE2" w:rsidP="00211AE2">
      <w:pPr>
        <w:pStyle w:val="Prrafodelista"/>
        <w:ind w:left="714"/>
        <w:contextualSpacing w:val="0"/>
        <w:jc w:val="both"/>
        <w:rPr>
          <w:rFonts w:ascii="Century Gothic" w:hAnsi="Century Gothic" w:cs="Calibri"/>
        </w:rPr>
      </w:pPr>
      <w:r w:rsidRPr="00080432">
        <w:rPr>
          <w:rFonts w:ascii="Century Gothic" w:hAnsi="Century Gothic" w:cs="Calibri"/>
        </w:rPr>
        <w:t>El Check-list es un documento mutuo con diferentes pasos para realizar tanto en el buque como en la terminal y deberá estar firmado por el responsable de cada instalación, para así confirmar que todos los puntos se han realizado correctamente. Por lo tanto, ambas partes son las responsables de que el Check-list se rellene correctamente y esté firmado antes de ser entregado al buque receptor.</w:t>
      </w:r>
    </w:p>
    <w:p w14:paraId="705E5B67" w14:textId="77777777" w:rsidR="00211AE2" w:rsidRPr="00080432" w:rsidRDefault="00211AE2" w:rsidP="00211AE2">
      <w:pPr>
        <w:pStyle w:val="Prrafodelista"/>
        <w:ind w:left="714"/>
        <w:contextualSpacing w:val="0"/>
        <w:jc w:val="both"/>
        <w:rPr>
          <w:rFonts w:ascii="Century Gothic" w:hAnsi="Century Gothic" w:cs="Calibri"/>
        </w:rPr>
      </w:pPr>
      <w:r w:rsidRPr="00080432">
        <w:rPr>
          <w:rFonts w:ascii="Century Gothic" w:hAnsi="Century Gothic" w:cs="Calibri"/>
        </w:rPr>
        <w:t>Se deberán realizar los pasos indicados en el Check-list antes de la operación de suministro y deberán quedar anotados en el mismo previamente al suministro (deberá quedar firmado por el ROS y el Capitán u Oficial responsable del buque receptor)</w:t>
      </w:r>
    </w:p>
    <w:p w14:paraId="6EE57EB2"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lleva a cabo el inertizado del sistema de transferencia (mangueras o brazos), eliminado la posible presencia de gases inflamables, de oxígeno o de humedad.</w:t>
      </w:r>
    </w:p>
    <w:p w14:paraId="753A6261"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realiza una prueba de estanqueidad del sistema de transferencia, elevando la presión con un gas inerte y comprobando que se mantiene estable durante un tiempo de unos 5 minutos. Se puede verificar la ausencia de fugas empleando fluidos detectores en todas las conexiones bridadas y otros puntos de posible fuga.</w:t>
      </w:r>
    </w:p>
    <w:p w14:paraId="5BDD1CD8"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Si procede, se comprueba el correcto funcionamiento del sistema de enclavamientos, lanzando una señal de parada de emergencia desde el buque y desde tierra, de forma secuencial, comprobando en cada secuencia que la actuación de los sistemas de protección es correcta conforme a lo establecido en el procedimiento de suministro.</w:t>
      </w:r>
    </w:p>
    <w:p w14:paraId="4CA8832E"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Finalizadas las pruebas y comprobaciones, puede comenzar la transferencia. Es necesario comunicar a la Autoridad Portuaria el inicio de la actividad de transferencia, recibiendo su conformidad o cualquier indicación que la condicione u obligue a posponerla.</w:t>
      </w:r>
    </w:p>
    <w:p w14:paraId="77BD4716" w14:textId="77777777" w:rsidR="00211AE2" w:rsidRPr="00080432" w:rsidRDefault="00211AE2" w:rsidP="00211AE2">
      <w:pPr>
        <w:jc w:val="both"/>
        <w:rPr>
          <w:rFonts w:ascii="Century Gothic" w:hAnsi="Century Gothic" w:cs="Calibri"/>
        </w:rPr>
      </w:pPr>
    </w:p>
    <w:p w14:paraId="335D0CDB" w14:textId="77777777" w:rsidR="00211AE2" w:rsidRPr="00080432" w:rsidRDefault="00211AE2" w:rsidP="006965D8">
      <w:pPr>
        <w:pStyle w:val="Prrafodelista"/>
        <w:numPr>
          <w:ilvl w:val="1"/>
          <w:numId w:val="34"/>
        </w:numPr>
        <w:spacing w:after="240"/>
        <w:contextualSpacing w:val="0"/>
        <w:jc w:val="both"/>
        <w:rPr>
          <w:rFonts w:ascii="Century Gothic" w:hAnsi="Century Gothic" w:cs="Calibri"/>
          <w:b/>
          <w:bCs/>
        </w:rPr>
      </w:pPr>
      <w:r w:rsidRPr="00080432">
        <w:rPr>
          <w:rFonts w:ascii="Century Gothic" w:hAnsi="Century Gothic" w:cs="Calibri"/>
          <w:b/>
          <w:bCs/>
        </w:rPr>
        <w:t>Tra</w:t>
      </w:r>
      <w:r>
        <w:rPr>
          <w:rFonts w:ascii="Century Gothic" w:hAnsi="Century Gothic" w:cs="Calibri"/>
          <w:b/>
          <w:bCs/>
        </w:rPr>
        <w:t>n</w:t>
      </w:r>
      <w:r w:rsidRPr="00080432">
        <w:rPr>
          <w:rFonts w:ascii="Century Gothic" w:hAnsi="Century Gothic" w:cs="Calibri"/>
          <w:b/>
          <w:bCs/>
        </w:rPr>
        <w:t>sferencia</w:t>
      </w:r>
    </w:p>
    <w:p w14:paraId="13C2FCC3" w14:textId="77777777" w:rsidR="00211AE2" w:rsidRPr="00080432" w:rsidRDefault="00211AE2" w:rsidP="00211AE2">
      <w:pPr>
        <w:jc w:val="both"/>
        <w:rPr>
          <w:rFonts w:ascii="Century Gothic" w:hAnsi="Century Gothic" w:cs="Calibri"/>
        </w:rPr>
      </w:pPr>
      <w:r w:rsidRPr="00080432">
        <w:rPr>
          <w:rFonts w:ascii="Century Gothic" w:hAnsi="Century Gothic" w:cs="Calibri"/>
          <w:noProof/>
        </w:rPr>
        <w:drawing>
          <wp:inline distT="0" distB="0" distL="0" distR="0" wp14:anchorId="207A0B63" wp14:editId="0513A119">
            <wp:extent cx="5400040" cy="3603625"/>
            <wp:effectExtent l="0" t="0" r="0" b="0"/>
            <wp:docPr id="142832016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20167" name="Imagen 1" descr="Diagrama&#10;&#10;Descripción generada automáticamente"/>
                    <pic:cNvPicPr/>
                  </pic:nvPicPr>
                  <pic:blipFill>
                    <a:blip r:embed="rId17"/>
                    <a:stretch>
                      <a:fillRect/>
                    </a:stretch>
                  </pic:blipFill>
                  <pic:spPr>
                    <a:xfrm>
                      <a:off x="0" y="0"/>
                      <a:ext cx="5400040" cy="3603625"/>
                    </a:xfrm>
                    <a:prstGeom prst="rect">
                      <a:avLst/>
                    </a:prstGeom>
                  </pic:spPr>
                </pic:pic>
              </a:graphicData>
            </a:graphic>
          </wp:inline>
        </w:drawing>
      </w:r>
    </w:p>
    <w:p w14:paraId="3A677817" w14:textId="77777777" w:rsidR="00211AE2" w:rsidRPr="00080432" w:rsidRDefault="00211AE2" w:rsidP="00211AE2">
      <w:pPr>
        <w:jc w:val="both"/>
        <w:rPr>
          <w:rFonts w:ascii="Century Gothic" w:hAnsi="Century Gothic" w:cs="Calibri"/>
        </w:rPr>
      </w:pPr>
      <w:r w:rsidRPr="00080432">
        <w:rPr>
          <w:rFonts w:ascii="Century Gothic" w:hAnsi="Century Gothic" w:cs="Calibri"/>
        </w:rPr>
        <w:t>Si se detecta algún problema, la transferencia deberá ser parada inmediatamente y no se retomará hasta que se hayan llevado a cabo las acciones pertinentes y se haya comprobado el correcto funcionamiento de los equipos.</w:t>
      </w:r>
    </w:p>
    <w:p w14:paraId="2E76ED7D" w14:textId="77777777" w:rsidR="00211AE2" w:rsidRPr="00080432" w:rsidRDefault="00211AE2" w:rsidP="00211AE2">
      <w:pPr>
        <w:jc w:val="both"/>
        <w:rPr>
          <w:rFonts w:ascii="Century Gothic" w:hAnsi="Century Gothic" w:cs="Calibri"/>
        </w:rPr>
      </w:pPr>
      <w:r w:rsidRPr="00080432">
        <w:rPr>
          <w:rFonts w:ascii="Century Gothic" w:hAnsi="Century Gothic" w:cs="Calibri"/>
        </w:rPr>
        <w:t>La trasferencia de GNL desde la instalación de tierra y el buque conlleva las siguientes operaciones secuenciales:</w:t>
      </w:r>
    </w:p>
    <w:p w14:paraId="238193CD"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El buque receptor deberá que comprobar la presión de su(s) tanque(s) de GNL previa a la transferencia; deberá alcanzar el valor acordado antes de iniciar el proceso de carga. Podrá ser necesaria una despresurización parcial, enviando el BOG / vapores GN que se requiera a la terminal o bien realizar un equilibrado de presiones entre el sistema del buque y el de tierra. De esta forma se logra una transferencia más controlable desde el sistema de tierra, y redunda en un incremento en la seguridad de la operación.</w:t>
      </w:r>
    </w:p>
    <w:p w14:paraId="3D0FEC93" w14:textId="77777777" w:rsidR="00211AE2" w:rsidRPr="00080432" w:rsidRDefault="00211AE2" w:rsidP="00211AE2">
      <w:pPr>
        <w:pStyle w:val="Prrafodelista"/>
        <w:ind w:left="714"/>
        <w:contextualSpacing w:val="0"/>
        <w:jc w:val="both"/>
        <w:rPr>
          <w:rFonts w:ascii="Century Gothic" w:hAnsi="Century Gothic" w:cs="Calibri"/>
        </w:rPr>
      </w:pPr>
      <w:r w:rsidRPr="00080432">
        <w:rPr>
          <w:rFonts w:ascii="Century Gothic" w:hAnsi="Century Gothic" w:cs="Calibri"/>
        </w:rPr>
        <w:t>El personal de operaciones de la terminal de GNL tendrá que confirmar que el rango de presión y temperatura en los tanques de la terminal y del buque receptor están dentro de los límites acordados antes de comenzar la operación de suministro.</w:t>
      </w:r>
    </w:p>
    <w:p w14:paraId="26F399B9"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El sistema de transferencia y parte del sistema de GNL del buque y, tal vez, el de tierra, pueden encontrarse a temperatura ambiente. Para evitar deformaciones no deseadas, se debe realizar un enfriamiento de todo el sistema antes de iniciar el bombeo de trasferencia. Es habitual emplear un pequeño flujo de GNL para realizar este enfriamiento, utilizando un </w:t>
      </w:r>
      <w:r w:rsidRPr="00080432">
        <w:rPr>
          <w:rFonts w:ascii="Century Gothic" w:hAnsi="Century Gothic" w:cs="Calibri"/>
        </w:rPr>
        <w:lastRenderedPageBreak/>
        <w:t>desplazamiento por gravedad, por diferencia de presión o mediante un caudal bajo desde una bomba de trasiego.</w:t>
      </w:r>
    </w:p>
    <w:p w14:paraId="6A5D0B45"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Alcanzada una temperatura suficientemente baja, del orden de -100 °C, es posible iniciar el bombeo. El enfriamiento final desde este valor hasta la temperatura de operación ya no producirá deformaciones inadmisibles.</w:t>
      </w:r>
    </w:p>
    <w:p w14:paraId="0E8657B2"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Cuando se confirme que los sistemas de tierra y del buque están alineados y que todo el personal no participante está fuera de la zona acceso restringido, ambas instalaciones confirmarán que están preparados para comenzar el suministro dando una “ready signal” por radio y/o por el cable de comunicación opcional si se dispone de él.</w:t>
      </w:r>
    </w:p>
    <w:p w14:paraId="52DF0448"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El bombeo debe iniciarse con un caudal reducido para comprobar la integridad de todo el sistema, la ausencia de fugas y verificar el flujo positivo conforme a lo previsto.</w:t>
      </w:r>
    </w:p>
    <w:p w14:paraId="50B415F9"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El buque debe decidir cómo introducir el GNL que reciba en sus tanques: secuencialmente en cada tanque, en paralelo, y, en cada tanque, por la parte superior o la inferior. Es habitual que esto último se decida en función de la evolución de la presión en los tanques, ya que un llenado superior suele reducir la presión y un llenado inferior suele aumentarla. No obstante, si el buque dispone de conexión de retorno de vapor, la evolución de la presión es más estable y no siempre sigue la tendencia apuntada. Por otro lado, si hay gran diferencia entre la densidad del GNL remanente en el buque antes del suministro y la del GNL a suministrar, es también habitual forzar la mezcla del GNL remanente y del nuevo vertiendo un GNL más denso por la parte superior y menos denso por la parte inferior.</w:t>
      </w:r>
    </w:p>
    <w:p w14:paraId="27BBC6CD"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Estabilizado el sistema a bajo caudal, puede ya incrementarse hasta el valor acordado. Este valor de caudal debe ser inferior o igual al máximo de diseño del sistema y deberá impedir que se alcance la condición de diseño de presión en cualquier punto del sistema.</w:t>
      </w:r>
    </w:p>
    <w:p w14:paraId="69C67C0A"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Durante toda la trasferencia deberán monitorizarse de forma continua todos los parámetros esenciales, tales como la presión en diferentes puntos y la evolución del nivel en los tanques del buque.</w:t>
      </w:r>
    </w:p>
    <w:p w14:paraId="7E91761A"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También es necesario monitorizar el comportamiento y desplazamientos del buque debidos a mareas y oleaje. Se deberá actuar desde tierra de forma que el sistema de transferencia siga estos desplazamientos sin que se produzcan situaciones que puedan provocar fugas de producto.</w:t>
      </w:r>
    </w:p>
    <w:p w14:paraId="2D6CC7EC"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De igual modo, las líneas de amarre serán supervisadas por el buque receptor durante la operación de suministro de combustible para garantizar un amarre seguro durante todo el suministro.</w:t>
      </w:r>
    </w:p>
    <w:p w14:paraId="413E619B"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Próximos a alcanzar el volumen solicitado o un nivel en los tanques del buque cercano al máximo operativo, el buque receptor comunicará esta condición y la instalación de tierra deberá reducir el caudal de trasiego a un valor </w:t>
      </w:r>
      <w:r w:rsidRPr="00080432">
        <w:rPr>
          <w:rFonts w:ascii="Century Gothic" w:hAnsi="Century Gothic" w:cs="Calibri"/>
        </w:rPr>
        <w:lastRenderedPageBreak/>
        <w:t>mínimo. De esta forma se podrá detener de forma rápida y segura la transferencia al alcanzar los límites.</w:t>
      </w:r>
    </w:p>
    <w:p w14:paraId="11334BFB"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La transferencia concluye al alcanzar estos límites. Se detendrán las bombas de carga y se cerrarán las válvulas de suministro desde el lado tierra. Es importante que no se cierren todas las válvulas del lado buque, manteniendo una vía libre para el posible incremento de presión en el sistema de transferencia.</w:t>
      </w:r>
    </w:p>
    <w:p w14:paraId="77F69966" w14:textId="77777777" w:rsidR="00211AE2" w:rsidRPr="00080432" w:rsidRDefault="00211AE2" w:rsidP="00211AE2">
      <w:pPr>
        <w:jc w:val="both"/>
        <w:rPr>
          <w:rFonts w:ascii="Century Gothic" w:hAnsi="Century Gothic" w:cs="Calibri"/>
        </w:rPr>
      </w:pPr>
    </w:p>
    <w:p w14:paraId="4A67C741" w14:textId="77777777" w:rsidR="00211AE2" w:rsidRPr="00080432" w:rsidRDefault="00211AE2" w:rsidP="00211AE2">
      <w:pPr>
        <w:jc w:val="both"/>
        <w:rPr>
          <w:rFonts w:ascii="Century Gothic" w:hAnsi="Century Gothic" w:cs="Calibri"/>
          <w:u w:val="single"/>
        </w:rPr>
      </w:pPr>
      <w:r w:rsidRPr="00080432">
        <w:rPr>
          <w:rFonts w:ascii="Century Gothic" w:hAnsi="Century Gothic" w:cs="Calibri"/>
          <w:u w:val="single"/>
        </w:rPr>
        <w:t>Operaciones finales</w:t>
      </w:r>
    </w:p>
    <w:p w14:paraId="0A53E35B" w14:textId="77777777" w:rsidR="00211AE2" w:rsidRPr="00080432" w:rsidRDefault="00211AE2" w:rsidP="00211AE2">
      <w:pPr>
        <w:jc w:val="both"/>
        <w:rPr>
          <w:rFonts w:ascii="Century Gothic" w:hAnsi="Century Gothic" w:cs="Calibri"/>
        </w:rPr>
      </w:pPr>
      <w:r w:rsidRPr="00080432">
        <w:rPr>
          <w:rFonts w:ascii="Century Gothic" w:hAnsi="Century Gothic" w:cs="Calibri"/>
        </w:rPr>
        <w:t>Finalizada la transferencia se inicia la fase de desconexión, con las siguientes actividades:</w:t>
      </w:r>
    </w:p>
    <w:p w14:paraId="4F45CC43" w14:textId="77777777" w:rsidR="00211AE2" w:rsidRPr="00080432" w:rsidRDefault="00211AE2" w:rsidP="00211AE2">
      <w:pPr>
        <w:jc w:val="both"/>
        <w:rPr>
          <w:rFonts w:ascii="Century Gothic" w:hAnsi="Century Gothic" w:cs="Calibri"/>
        </w:rPr>
      </w:pPr>
      <w:r w:rsidRPr="00080432">
        <w:rPr>
          <w:rFonts w:ascii="Century Gothic" w:hAnsi="Century Gothic" w:cs="Calibri"/>
        </w:rPr>
        <w:t>Drenaje de los brazos de carga o mangueras de suministro</w:t>
      </w:r>
    </w:p>
    <w:p w14:paraId="43B9F4A4"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Es necesario acometer el purgado del sistema de transferencia, eliminado el GNL residual en el interior de las tuberías, las mangueras o los brazos de transferencia. Para ello se pueden emplear varios métodos, no mutuamente excluyentes:</w:t>
      </w:r>
    </w:p>
    <w:p w14:paraId="4FEB0A4C"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Empuje mediante nitrógeno, inyectado desde tierra y que empuja el GNL hacia el buque.</w:t>
      </w:r>
    </w:p>
    <w:p w14:paraId="06F6F3D5"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También se podría drenar hacia un recipiente dedicado situado en tierra y realizar la inyección desde el buque en aquellas terminales que así lo estimen.</w:t>
      </w:r>
    </w:p>
    <w:p w14:paraId="4AF4ED46"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Forzar la vaporización del GNL remanente mojando con agua el exterior del sistema de transferencia. El agua aporta calor que fuerza la vaporización del GNL; el vapor y parte del GNL remanente son conducidos a los tanques del buque.</w:t>
      </w:r>
    </w:p>
    <w:p w14:paraId="313F676E" w14:textId="77777777" w:rsidR="00211AE2" w:rsidRPr="00080432" w:rsidRDefault="00211AE2" w:rsidP="006965D8">
      <w:pPr>
        <w:pStyle w:val="Prrafodelista"/>
        <w:numPr>
          <w:ilvl w:val="1"/>
          <w:numId w:val="35"/>
        </w:numPr>
        <w:ind w:left="1434" w:hanging="357"/>
        <w:contextualSpacing w:val="0"/>
        <w:jc w:val="both"/>
        <w:rPr>
          <w:rFonts w:ascii="Century Gothic" w:hAnsi="Century Gothic" w:cs="Calibri"/>
        </w:rPr>
      </w:pPr>
      <w:r w:rsidRPr="00080432">
        <w:rPr>
          <w:rFonts w:ascii="Century Gothic" w:hAnsi="Century Gothic" w:cs="Calibri"/>
        </w:rPr>
        <w:t>El empuje del GNL remanente por gas vaporizado puede incrementarse si se realizan cierres temporales de la válvula de entrada al buque, seguidos de nuevas aberturas que despresurizan el sistema de transferencia y provocan la expansión del vapor y el empuje del líquido hacia el buque.</w:t>
      </w:r>
    </w:p>
    <w:p w14:paraId="686FA7FF"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Una vez comprobado que no queda líquido remanente (desaparición del hielo en el exterior del sistema de transferencia), se debe inertizar este sistema con nitrógeno antes de proceder a la desconexión. Se inyecta nitrógeno y se ventea de forma segura repetidas veces, hasta que el nivel de explosividad sea suficientemente bajo y permita la desconexión segura.</w:t>
      </w:r>
    </w:p>
    <w:p w14:paraId="1E8CD4F4"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Esta inertización se puede reducir e incluso evitar si se emplean sistema de acoplamiento seco sin fugas en la desconexión. No obstante, la inertización aporta una garantía de seguridad adicional y es conveniente realizarla.</w:t>
      </w:r>
    </w:p>
    <w:p w14:paraId="1BD25D06"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lastRenderedPageBreak/>
        <w:t>Con el sistema de transferencia inertizado, se desconectan tanto el sistema de líquido como el de retorno de vapor, recuperándolos desde el buque hacia tierra y estacionándolos convenientemente.</w:t>
      </w:r>
    </w:p>
    <w:p w14:paraId="7047747C"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desconectan tanto el sistema de enclavamiento de emergencia como los cables del sistema de detección de desplazamiento del buque si se disponen de ellos.</w:t>
      </w:r>
    </w:p>
    <w:p w14:paraId="004CB9EE"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Se da por concluida la operación y se notifica a finalización a la Autoridad Portuaria, trasladándole los incidentes que hubieran podido acontecer.</w:t>
      </w:r>
    </w:p>
    <w:p w14:paraId="1A857CC3" w14:textId="77777777" w:rsidR="00211AE2" w:rsidRPr="00080432" w:rsidRDefault="00211AE2" w:rsidP="006965D8">
      <w:pPr>
        <w:pStyle w:val="Prrafodelista"/>
        <w:numPr>
          <w:ilvl w:val="0"/>
          <w:numId w:val="34"/>
        </w:numPr>
        <w:ind w:left="426"/>
        <w:jc w:val="both"/>
        <w:rPr>
          <w:rFonts w:ascii="Century Gothic" w:hAnsi="Century Gothic" w:cs="Calibri"/>
          <w:b/>
          <w:bCs/>
        </w:rPr>
      </w:pPr>
      <w:r w:rsidRPr="00080432">
        <w:rPr>
          <w:rFonts w:ascii="Century Gothic" w:hAnsi="Century Gothic" w:cs="Calibri"/>
          <w:b/>
          <w:bCs/>
        </w:rPr>
        <w:t>Actividades posteriores al suministro</w:t>
      </w:r>
    </w:p>
    <w:p w14:paraId="0E0FF925" w14:textId="77777777" w:rsidR="00211AE2" w:rsidRPr="00080432" w:rsidRDefault="00211AE2" w:rsidP="00211AE2">
      <w:pPr>
        <w:jc w:val="both"/>
        <w:rPr>
          <w:rFonts w:ascii="Century Gothic" w:hAnsi="Century Gothic" w:cs="Calibri"/>
        </w:rPr>
      </w:pPr>
      <w:r w:rsidRPr="00080432">
        <w:rPr>
          <w:rFonts w:ascii="Century Gothic" w:hAnsi="Century Gothic" w:cs="Calibri"/>
        </w:rPr>
        <w:t>Concluida la operación, se procede al cierre de la actividad:</w:t>
      </w:r>
    </w:p>
    <w:p w14:paraId="15D5BA0C" w14:textId="46021776"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Elaboración del documento de entrega de producto </w:t>
      </w:r>
      <w:r w:rsidR="005D4DDC" w:rsidRPr="00080432">
        <w:rPr>
          <w:rFonts w:ascii="Century Gothic" w:hAnsi="Century Gothic" w:cs="Calibri"/>
        </w:rPr>
        <w:t>(BDN: Bunker Delivery Note)</w:t>
      </w:r>
      <w:r w:rsidR="005D4DDC">
        <w:rPr>
          <w:rFonts w:ascii="Century Gothic" w:hAnsi="Century Gothic" w:cs="Calibri"/>
        </w:rPr>
        <w:t xml:space="preserve"> o informe de la terminal de regasificación</w:t>
      </w:r>
      <w:r w:rsidR="005D4DDC" w:rsidRPr="00080432">
        <w:rPr>
          <w:rFonts w:ascii="Century Gothic" w:hAnsi="Century Gothic" w:cs="Calibri"/>
        </w:rPr>
        <w:t xml:space="preserve">. </w:t>
      </w:r>
      <w:r w:rsidRPr="00080432">
        <w:rPr>
          <w:rFonts w:ascii="Century Gothic" w:hAnsi="Century Gothic" w:cs="Calibri"/>
        </w:rPr>
        <w:t>En este documento se incluyen los detalles asociados al suministro y que permitirán tanto su facturación como su registro ante las autoridades fiscales. El documento debe ser firmado tanto por parte del suministrador como por el capitán u oficial del buque receptor. Un documento firmado quedará en manos de la terminal de GNL y la otra copia se guardará a bordo del buque receptor durante doce meses. Se utilizará el modelo de BDN similar al establecido por el código IGF.</w:t>
      </w:r>
    </w:p>
    <w:p w14:paraId="434F0D78"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Para agilizar el intercambio de documentación entre buque y tierra es habitual utilizar el correo electrónico. Así, si no se han firmado los documentos iniciales (el preacuerdo de suministro y la lista de comprobaciones) es en este momento cuando se intercambian para poder firmarlos y archivarlos para consultas futuras.</w:t>
      </w:r>
    </w:p>
    <w:p w14:paraId="4AC49FF2" w14:textId="77777777"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Recibida la documentación firmada se deberá enviar copia del documento de entrega a las autoridades fiscales para su registro y tramitación.</w:t>
      </w:r>
    </w:p>
    <w:p w14:paraId="7438F3C8" w14:textId="717A535A" w:rsidR="00211AE2" w:rsidRPr="00080432" w:rsidRDefault="00211AE2" w:rsidP="006965D8">
      <w:pPr>
        <w:pStyle w:val="Prrafodelista"/>
        <w:numPr>
          <w:ilvl w:val="0"/>
          <w:numId w:val="35"/>
        </w:numPr>
        <w:ind w:left="714" w:hanging="357"/>
        <w:contextualSpacing w:val="0"/>
        <w:jc w:val="both"/>
        <w:rPr>
          <w:rFonts w:ascii="Century Gothic" w:hAnsi="Century Gothic" w:cs="Calibri"/>
        </w:rPr>
      </w:pPr>
      <w:r w:rsidRPr="00080432">
        <w:rPr>
          <w:rFonts w:ascii="Century Gothic" w:hAnsi="Century Gothic" w:cs="Calibri"/>
        </w:rPr>
        <w:t xml:space="preserve">Toda la documentación, así como la información de respaldo que ha permitido elaborarla (principalmente los datos de volumen transferido y características finales del GNL entregado como se recogen en </w:t>
      </w:r>
      <w:r w:rsidR="00686206">
        <w:rPr>
          <w:rFonts w:ascii="Century Gothic" w:hAnsi="Century Gothic" w:cs="Calibri"/>
        </w:rPr>
        <w:t>la B</w:t>
      </w:r>
      <w:r w:rsidR="00F44686">
        <w:rPr>
          <w:rFonts w:ascii="Century Gothic" w:hAnsi="Century Gothic" w:cs="Calibri"/>
        </w:rPr>
        <w:t xml:space="preserve">DN </w:t>
      </w:r>
      <w:r w:rsidR="009B7BA0">
        <w:rPr>
          <w:rFonts w:ascii="Century Gothic" w:hAnsi="Century Gothic" w:cs="Calibri"/>
        </w:rPr>
        <w:t>o informe de terminal de regasificación</w:t>
      </w:r>
      <w:r w:rsidR="009B7BA0" w:rsidRPr="00080432">
        <w:rPr>
          <w:rFonts w:ascii="Century Gothic" w:hAnsi="Century Gothic" w:cs="Calibri"/>
        </w:rPr>
        <w:t>)</w:t>
      </w:r>
      <w:r w:rsidRPr="00080432">
        <w:rPr>
          <w:rFonts w:ascii="Century Gothic" w:hAnsi="Century Gothic" w:cs="Calibri"/>
        </w:rPr>
        <w:t xml:space="preserve"> deben ser conservados por el suministrador durante 5 años como mínimo.</w:t>
      </w:r>
    </w:p>
    <w:p w14:paraId="47ED3CF0" w14:textId="77777777" w:rsidR="00211AE2" w:rsidRPr="00080432" w:rsidRDefault="00211AE2" w:rsidP="00211AE2">
      <w:pPr>
        <w:pStyle w:val="Prrafodelista"/>
        <w:jc w:val="both"/>
        <w:rPr>
          <w:rFonts w:ascii="Century Gothic" w:hAnsi="Century Gothic" w:cs="Calibri"/>
        </w:rPr>
      </w:pPr>
    </w:p>
    <w:p w14:paraId="734791A2" w14:textId="77777777" w:rsidR="00211AE2" w:rsidRPr="00080432" w:rsidRDefault="00211AE2" w:rsidP="00211AE2">
      <w:pPr>
        <w:jc w:val="both"/>
        <w:rPr>
          <w:rFonts w:ascii="Century Gothic" w:hAnsi="Century Gothic" w:cs="Calibri"/>
        </w:rPr>
      </w:pPr>
    </w:p>
    <w:p w14:paraId="1BAAFAE0" w14:textId="77777777" w:rsidR="00211AE2" w:rsidRPr="00080432" w:rsidRDefault="00211AE2" w:rsidP="00211AE2">
      <w:pPr>
        <w:rPr>
          <w:rFonts w:ascii="Century Gothic" w:hAnsi="Century Gothic" w:cs="Calibri"/>
        </w:rPr>
      </w:pPr>
      <w:r w:rsidRPr="00080432">
        <w:rPr>
          <w:rFonts w:ascii="Century Gothic" w:hAnsi="Century Gothic" w:cs="Calibri"/>
        </w:rPr>
        <w:br w:type="page"/>
      </w:r>
    </w:p>
    <w:p w14:paraId="09672325" w14:textId="77777777" w:rsidR="00211AE2" w:rsidRPr="00524EF1" w:rsidRDefault="00211AE2" w:rsidP="00211AE2">
      <w:pPr>
        <w:jc w:val="both"/>
        <w:rPr>
          <w:rFonts w:ascii="Calibri" w:hAnsi="Calibri" w:cs="Calibri"/>
          <w:b/>
          <w:bCs/>
        </w:rPr>
      </w:pPr>
      <w:r>
        <w:rPr>
          <w:rFonts w:ascii="Calibri" w:hAnsi="Calibri" w:cs="Calibri"/>
          <w:b/>
          <w:bCs/>
        </w:rPr>
        <w:lastRenderedPageBreak/>
        <w:t>Modalidad PTS</w:t>
      </w:r>
      <w:r w:rsidRPr="00524EF1">
        <w:rPr>
          <w:rFonts w:ascii="Calibri" w:hAnsi="Calibri" w:cs="Calibri"/>
          <w:b/>
          <w:bCs/>
        </w:rPr>
        <w:t>: Checklists de las actividades</w:t>
      </w:r>
      <w:r>
        <w:rPr>
          <w:rFonts w:ascii="Calibri" w:hAnsi="Calibri" w:cs="Calibri"/>
          <w:b/>
          <w:bCs/>
        </w:rPr>
        <w:t xml:space="preserve"> </w:t>
      </w:r>
    </w:p>
    <w:p w14:paraId="54BBE5A8" w14:textId="77777777" w:rsidR="00211AE2" w:rsidRPr="00524EF1" w:rsidRDefault="00211AE2" w:rsidP="00211AE2">
      <w:pPr>
        <w:jc w:val="both"/>
        <w:rPr>
          <w:rFonts w:ascii="Calibri" w:hAnsi="Calibri" w:cs="Calibri"/>
        </w:rPr>
      </w:pPr>
    </w:p>
    <w:tbl>
      <w:tblPr>
        <w:tblW w:w="930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5"/>
        <w:gridCol w:w="4496"/>
        <w:gridCol w:w="873"/>
        <w:gridCol w:w="857"/>
        <w:gridCol w:w="2421"/>
      </w:tblGrid>
      <w:tr w:rsidR="00211AE2" w:rsidRPr="00524EF1" w14:paraId="16F19D43" w14:textId="77777777" w:rsidTr="00BC6B7C">
        <w:trPr>
          <w:trHeight w:val="540"/>
        </w:trPr>
        <w:tc>
          <w:tcPr>
            <w:tcW w:w="655" w:type="dxa"/>
            <w:vAlign w:val="center"/>
          </w:tcPr>
          <w:p w14:paraId="4766461B" w14:textId="77777777" w:rsidR="00211AE2" w:rsidRPr="00524EF1" w:rsidRDefault="00211AE2" w:rsidP="00BC6B7C">
            <w:pPr>
              <w:jc w:val="center"/>
              <w:rPr>
                <w:rFonts w:ascii="Calibri" w:hAnsi="Calibri" w:cs="Calibri"/>
              </w:rPr>
            </w:pPr>
          </w:p>
        </w:tc>
        <w:tc>
          <w:tcPr>
            <w:tcW w:w="4496" w:type="dxa"/>
          </w:tcPr>
          <w:p w14:paraId="399C5F1D" w14:textId="77777777" w:rsidR="00211AE2" w:rsidRPr="00524EF1" w:rsidRDefault="00211AE2" w:rsidP="00BC6B7C">
            <w:pPr>
              <w:rPr>
                <w:rFonts w:ascii="Calibri" w:hAnsi="Calibri" w:cs="Calibri"/>
              </w:rPr>
            </w:pPr>
          </w:p>
        </w:tc>
        <w:tc>
          <w:tcPr>
            <w:tcW w:w="873" w:type="dxa"/>
          </w:tcPr>
          <w:p w14:paraId="3EF9A531" w14:textId="77777777" w:rsidR="00211AE2" w:rsidRPr="00524EF1" w:rsidRDefault="00211AE2" w:rsidP="00BC6B7C">
            <w:pPr>
              <w:jc w:val="center"/>
              <w:rPr>
                <w:rFonts w:ascii="Calibri" w:hAnsi="Calibri" w:cs="Calibri"/>
                <w:b/>
                <w:lang w:val="en-GB"/>
              </w:rPr>
            </w:pPr>
            <w:r w:rsidRPr="00524EF1">
              <w:rPr>
                <w:rFonts w:ascii="Calibri" w:hAnsi="Calibri" w:cs="Calibri"/>
                <w:b/>
                <w:lang w:val="en-GB"/>
              </w:rPr>
              <w:t>BUQUE</w:t>
            </w:r>
          </w:p>
          <w:p w14:paraId="0A43117C" w14:textId="77777777" w:rsidR="00211AE2" w:rsidRPr="00524EF1" w:rsidRDefault="00211AE2" w:rsidP="00BC6B7C">
            <w:pPr>
              <w:jc w:val="center"/>
              <w:rPr>
                <w:rFonts w:ascii="Calibri" w:hAnsi="Calibri" w:cs="Calibri"/>
                <w:lang w:val="en-GB"/>
              </w:rPr>
            </w:pPr>
            <w:r w:rsidRPr="00524EF1">
              <w:rPr>
                <w:rFonts w:ascii="Calibri" w:hAnsi="Calibri" w:cs="Calibri"/>
                <w:lang w:val="en-GB"/>
              </w:rPr>
              <w:t>VESSEL</w:t>
            </w:r>
          </w:p>
        </w:tc>
        <w:tc>
          <w:tcPr>
            <w:tcW w:w="857" w:type="dxa"/>
          </w:tcPr>
          <w:p w14:paraId="4A027CDE" w14:textId="77777777" w:rsidR="00211AE2" w:rsidRPr="00524EF1" w:rsidRDefault="00211AE2" w:rsidP="00BC6B7C">
            <w:pPr>
              <w:jc w:val="center"/>
              <w:rPr>
                <w:rFonts w:ascii="Calibri" w:hAnsi="Calibri" w:cs="Calibri"/>
                <w:b/>
                <w:lang w:val="en-GB"/>
              </w:rPr>
            </w:pPr>
            <w:r w:rsidRPr="00524EF1">
              <w:rPr>
                <w:rFonts w:ascii="Calibri" w:hAnsi="Calibri" w:cs="Calibri"/>
                <w:b/>
                <w:lang w:val="en-GB"/>
              </w:rPr>
              <w:t>TIERRA</w:t>
            </w:r>
          </w:p>
          <w:p w14:paraId="5C7D1AAD" w14:textId="77777777" w:rsidR="00211AE2" w:rsidRPr="00524EF1" w:rsidRDefault="00211AE2" w:rsidP="00BC6B7C">
            <w:pPr>
              <w:jc w:val="center"/>
              <w:rPr>
                <w:rFonts w:ascii="Calibri" w:hAnsi="Calibri" w:cs="Calibri"/>
                <w:b/>
                <w:lang w:val="en-GB"/>
              </w:rPr>
            </w:pPr>
            <w:r w:rsidRPr="00524EF1">
              <w:rPr>
                <w:rFonts w:ascii="Calibri" w:hAnsi="Calibri" w:cs="Calibri"/>
                <w:lang w:val="en-GB"/>
              </w:rPr>
              <w:t>LAND</w:t>
            </w:r>
          </w:p>
        </w:tc>
        <w:tc>
          <w:tcPr>
            <w:tcW w:w="2421" w:type="dxa"/>
          </w:tcPr>
          <w:p w14:paraId="46754A5F" w14:textId="77777777" w:rsidR="00211AE2" w:rsidRPr="00524EF1" w:rsidRDefault="00211AE2" w:rsidP="00BC6B7C">
            <w:pPr>
              <w:jc w:val="center"/>
              <w:rPr>
                <w:rFonts w:ascii="Calibri" w:hAnsi="Calibri" w:cs="Calibri"/>
                <w:b/>
                <w:lang w:val="en-GB"/>
              </w:rPr>
            </w:pPr>
            <w:r w:rsidRPr="00524EF1">
              <w:rPr>
                <w:rFonts w:ascii="Calibri" w:hAnsi="Calibri" w:cs="Calibri"/>
                <w:b/>
                <w:lang w:val="en-GB"/>
              </w:rPr>
              <w:t>OBSERVACIONES</w:t>
            </w:r>
          </w:p>
          <w:p w14:paraId="1CB2EB17" w14:textId="77777777" w:rsidR="00211AE2" w:rsidRPr="00524EF1" w:rsidRDefault="00211AE2" w:rsidP="00BC6B7C">
            <w:pPr>
              <w:jc w:val="center"/>
              <w:rPr>
                <w:rFonts w:ascii="Calibri" w:hAnsi="Calibri" w:cs="Calibri"/>
                <w:lang w:val="en-GB"/>
              </w:rPr>
            </w:pPr>
            <w:r w:rsidRPr="00524EF1">
              <w:rPr>
                <w:rFonts w:ascii="Calibri" w:hAnsi="Calibri" w:cs="Calibri"/>
                <w:lang w:val="en-GB"/>
              </w:rPr>
              <w:t>REMARKS</w:t>
            </w:r>
          </w:p>
        </w:tc>
      </w:tr>
      <w:tr w:rsidR="00211AE2" w:rsidRPr="00524EF1" w14:paraId="235CA87A" w14:textId="77777777" w:rsidTr="00BC6B7C">
        <w:trPr>
          <w:trHeight w:val="540"/>
        </w:trPr>
        <w:tc>
          <w:tcPr>
            <w:tcW w:w="655" w:type="dxa"/>
            <w:vAlign w:val="center"/>
          </w:tcPr>
          <w:p w14:paraId="4E2AC6E4" w14:textId="77777777" w:rsidR="00211AE2" w:rsidRPr="00524EF1" w:rsidRDefault="00211AE2" w:rsidP="00BC6B7C">
            <w:pPr>
              <w:jc w:val="center"/>
              <w:rPr>
                <w:rFonts w:ascii="Calibri" w:hAnsi="Calibri" w:cs="Calibri"/>
              </w:rPr>
            </w:pPr>
            <w:r w:rsidRPr="00524EF1">
              <w:rPr>
                <w:rFonts w:ascii="Calibri" w:hAnsi="Calibri" w:cs="Calibri"/>
              </w:rPr>
              <w:t>1</w:t>
            </w:r>
          </w:p>
        </w:tc>
        <w:tc>
          <w:tcPr>
            <w:tcW w:w="4496" w:type="dxa"/>
          </w:tcPr>
          <w:p w14:paraId="5A1CF178" w14:textId="77777777" w:rsidR="00211AE2" w:rsidRPr="00524EF1" w:rsidRDefault="00211AE2" w:rsidP="00BC6B7C">
            <w:pPr>
              <w:rPr>
                <w:rFonts w:ascii="Calibri" w:hAnsi="Calibri" w:cs="Calibri"/>
              </w:rPr>
            </w:pPr>
            <w:r w:rsidRPr="00524EF1">
              <w:rPr>
                <w:rFonts w:ascii="Calibri" w:hAnsi="Calibri" w:cs="Calibri"/>
              </w:rPr>
              <w:t>El destino del barco ha sido informado.</w:t>
            </w:r>
          </w:p>
          <w:p w14:paraId="23685DDD"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Vessel has notified next calling port.</w:t>
            </w:r>
          </w:p>
          <w:p w14:paraId="75E5B5E2" w14:textId="77777777" w:rsidR="00211AE2" w:rsidRPr="00524EF1" w:rsidRDefault="00211AE2" w:rsidP="00BC6B7C">
            <w:pPr>
              <w:rPr>
                <w:rFonts w:ascii="Calibri" w:hAnsi="Calibri" w:cs="Calibri"/>
                <w:i/>
                <w:iCs/>
                <w:lang w:val="en-US"/>
              </w:rPr>
            </w:pPr>
          </w:p>
        </w:tc>
        <w:tc>
          <w:tcPr>
            <w:tcW w:w="873" w:type="dxa"/>
          </w:tcPr>
          <w:p w14:paraId="087F8DB3" w14:textId="77777777" w:rsidR="00211AE2" w:rsidRPr="00524EF1" w:rsidRDefault="00211AE2" w:rsidP="00BC6B7C">
            <w:pPr>
              <w:jc w:val="center"/>
              <w:rPr>
                <w:rFonts w:ascii="Calibri" w:hAnsi="Calibri" w:cs="Calibri"/>
                <w:bCs/>
                <w:lang w:val="en-US"/>
              </w:rPr>
            </w:pPr>
          </w:p>
        </w:tc>
        <w:tc>
          <w:tcPr>
            <w:tcW w:w="857" w:type="dxa"/>
          </w:tcPr>
          <w:p w14:paraId="206BC367" w14:textId="77777777" w:rsidR="00211AE2" w:rsidRPr="00524EF1" w:rsidRDefault="00211AE2" w:rsidP="00BC6B7C">
            <w:pPr>
              <w:jc w:val="center"/>
              <w:rPr>
                <w:rFonts w:ascii="Calibri" w:hAnsi="Calibri" w:cs="Calibri"/>
                <w:bCs/>
                <w:lang w:val="en-US"/>
              </w:rPr>
            </w:pPr>
          </w:p>
        </w:tc>
        <w:tc>
          <w:tcPr>
            <w:tcW w:w="2421" w:type="dxa"/>
          </w:tcPr>
          <w:p w14:paraId="613402CF" w14:textId="77777777" w:rsidR="00211AE2" w:rsidRPr="00524EF1" w:rsidRDefault="00211AE2" w:rsidP="00BC6B7C">
            <w:pPr>
              <w:jc w:val="center"/>
              <w:rPr>
                <w:rFonts w:ascii="Calibri" w:hAnsi="Calibri" w:cs="Calibri"/>
                <w:bCs/>
                <w:i/>
                <w:iCs/>
                <w:lang w:val="en-US"/>
              </w:rPr>
            </w:pPr>
            <w:r w:rsidRPr="00524EF1">
              <w:rPr>
                <w:rFonts w:ascii="Calibri" w:hAnsi="Calibri" w:cs="Calibri"/>
                <w:bCs/>
                <w:lang w:val="en-US"/>
              </w:rPr>
              <w:t xml:space="preserve">Puerto siguiente / </w:t>
            </w:r>
            <w:r w:rsidRPr="00524EF1">
              <w:rPr>
                <w:rFonts w:ascii="Calibri" w:hAnsi="Calibri" w:cs="Calibri"/>
                <w:bCs/>
                <w:i/>
                <w:iCs/>
                <w:lang w:val="en-US"/>
              </w:rPr>
              <w:t>next port:</w:t>
            </w:r>
          </w:p>
        </w:tc>
      </w:tr>
      <w:tr w:rsidR="00211AE2" w:rsidRPr="00450A01" w14:paraId="595FF776" w14:textId="77777777" w:rsidTr="00BC6B7C">
        <w:trPr>
          <w:trHeight w:val="540"/>
        </w:trPr>
        <w:tc>
          <w:tcPr>
            <w:tcW w:w="655" w:type="dxa"/>
            <w:vAlign w:val="center"/>
          </w:tcPr>
          <w:p w14:paraId="34B80BAA" w14:textId="77777777" w:rsidR="00211AE2" w:rsidRPr="00524EF1" w:rsidRDefault="00211AE2" w:rsidP="00BC6B7C">
            <w:pPr>
              <w:jc w:val="center"/>
              <w:rPr>
                <w:rFonts w:ascii="Calibri" w:hAnsi="Calibri" w:cs="Calibri"/>
                <w:lang w:val="en-US"/>
              </w:rPr>
            </w:pPr>
            <w:r w:rsidRPr="00524EF1">
              <w:rPr>
                <w:rFonts w:ascii="Calibri" w:hAnsi="Calibri" w:cs="Calibri"/>
                <w:lang w:val="en-US"/>
              </w:rPr>
              <w:t>2</w:t>
            </w:r>
          </w:p>
        </w:tc>
        <w:tc>
          <w:tcPr>
            <w:tcW w:w="4496" w:type="dxa"/>
          </w:tcPr>
          <w:p w14:paraId="13A44D34" w14:textId="77777777" w:rsidR="00211AE2" w:rsidRPr="00524EF1" w:rsidRDefault="00211AE2" w:rsidP="00BC6B7C">
            <w:pPr>
              <w:rPr>
                <w:rFonts w:ascii="Calibri" w:hAnsi="Calibri" w:cs="Calibri"/>
              </w:rPr>
            </w:pPr>
            <w:r w:rsidRPr="00524EF1">
              <w:rPr>
                <w:rFonts w:ascii="Calibri" w:hAnsi="Calibri" w:cs="Calibri"/>
              </w:rPr>
              <w:t>Se han otorgado permisos para las operaciones de transferencia de GNL para la ubicación y hora específicas.</w:t>
            </w:r>
          </w:p>
          <w:p w14:paraId="21329291" w14:textId="77777777" w:rsidR="00211AE2" w:rsidRPr="00524EF1" w:rsidRDefault="00211AE2" w:rsidP="00BC6B7C">
            <w:pPr>
              <w:rPr>
                <w:rFonts w:ascii="Calibri" w:hAnsi="Calibri" w:cs="Calibri"/>
                <w:lang w:val="en-US"/>
              </w:rPr>
            </w:pPr>
            <w:r w:rsidRPr="00524EF1">
              <w:rPr>
                <w:rFonts w:ascii="Calibri" w:hAnsi="Calibri" w:cs="Calibri"/>
                <w:i/>
                <w:iCs/>
                <w:lang w:val="en-US"/>
              </w:rPr>
              <w:t>The terminal has granted permission for LNG transfer operations for the specific location and time.</w:t>
            </w:r>
          </w:p>
        </w:tc>
        <w:tc>
          <w:tcPr>
            <w:tcW w:w="873" w:type="dxa"/>
          </w:tcPr>
          <w:p w14:paraId="2C2D93E0" w14:textId="77777777" w:rsidR="00211AE2" w:rsidRPr="00524EF1" w:rsidRDefault="00211AE2" w:rsidP="00BC6B7C">
            <w:pPr>
              <w:jc w:val="center"/>
              <w:rPr>
                <w:rFonts w:ascii="Calibri" w:hAnsi="Calibri" w:cs="Calibri"/>
                <w:bCs/>
                <w:lang w:val="en-GB"/>
              </w:rPr>
            </w:pPr>
          </w:p>
        </w:tc>
        <w:tc>
          <w:tcPr>
            <w:tcW w:w="857" w:type="dxa"/>
          </w:tcPr>
          <w:p w14:paraId="6B8ED1FD" w14:textId="77777777" w:rsidR="00211AE2" w:rsidRPr="00524EF1" w:rsidRDefault="00211AE2" w:rsidP="00BC6B7C">
            <w:pPr>
              <w:jc w:val="center"/>
              <w:rPr>
                <w:rFonts w:ascii="Calibri" w:hAnsi="Calibri" w:cs="Calibri"/>
                <w:bCs/>
                <w:lang w:val="en-GB"/>
              </w:rPr>
            </w:pPr>
          </w:p>
        </w:tc>
        <w:tc>
          <w:tcPr>
            <w:tcW w:w="2421" w:type="dxa"/>
          </w:tcPr>
          <w:p w14:paraId="611ABA0A" w14:textId="77777777" w:rsidR="00211AE2" w:rsidRPr="00524EF1" w:rsidRDefault="00211AE2" w:rsidP="00BC6B7C">
            <w:pPr>
              <w:jc w:val="center"/>
              <w:rPr>
                <w:rFonts w:ascii="Calibri" w:hAnsi="Calibri" w:cs="Calibri"/>
                <w:bCs/>
                <w:lang w:val="en-GB"/>
              </w:rPr>
            </w:pPr>
          </w:p>
        </w:tc>
      </w:tr>
      <w:tr w:rsidR="00211AE2" w:rsidRPr="00524EF1" w14:paraId="502C932D" w14:textId="77777777" w:rsidTr="00BC6B7C">
        <w:trPr>
          <w:trHeight w:val="540"/>
        </w:trPr>
        <w:tc>
          <w:tcPr>
            <w:tcW w:w="655" w:type="dxa"/>
            <w:vAlign w:val="center"/>
          </w:tcPr>
          <w:p w14:paraId="51A53DF0" w14:textId="77777777" w:rsidR="00211AE2" w:rsidRPr="00524EF1" w:rsidRDefault="00211AE2" w:rsidP="00BC6B7C">
            <w:pPr>
              <w:jc w:val="center"/>
              <w:rPr>
                <w:rFonts w:ascii="Calibri" w:hAnsi="Calibri" w:cs="Calibri"/>
              </w:rPr>
            </w:pPr>
            <w:r w:rsidRPr="00524EF1">
              <w:rPr>
                <w:rFonts w:ascii="Calibri" w:hAnsi="Calibri" w:cs="Calibri"/>
              </w:rPr>
              <w:t>3</w:t>
            </w:r>
          </w:p>
        </w:tc>
        <w:tc>
          <w:tcPr>
            <w:tcW w:w="4496" w:type="dxa"/>
          </w:tcPr>
          <w:p w14:paraId="4B45F262" w14:textId="77777777" w:rsidR="00211AE2" w:rsidRPr="00524EF1" w:rsidRDefault="00211AE2" w:rsidP="00BC6B7C">
            <w:pPr>
              <w:rPr>
                <w:rFonts w:ascii="Calibri" w:hAnsi="Calibri" w:cs="Calibri"/>
              </w:rPr>
            </w:pPr>
            <w:r w:rsidRPr="00524EF1">
              <w:rPr>
                <w:rFonts w:ascii="Calibri" w:hAnsi="Calibri" w:cs="Calibri"/>
              </w:rPr>
              <w:t>Las autoridades competentes han sido notificadas sobre la operación de bunkering de GNL según las regulaciones locales.</w:t>
            </w:r>
          </w:p>
          <w:p w14:paraId="55707D68"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Competent authorities have been notified about the LNG bunker operation as per local regulations.</w:t>
            </w:r>
          </w:p>
        </w:tc>
        <w:tc>
          <w:tcPr>
            <w:tcW w:w="873" w:type="dxa"/>
          </w:tcPr>
          <w:p w14:paraId="5787D685" w14:textId="77777777" w:rsidR="00211AE2" w:rsidRPr="00524EF1" w:rsidRDefault="00211AE2" w:rsidP="00BC6B7C">
            <w:pPr>
              <w:jc w:val="center"/>
              <w:rPr>
                <w:rFonts w:ascii="Calibri" w:hAnsi="Calibri" w:cs="Calibri"/>
                <w:bCs/>
                <w:lang w:val="en-GB"/>
              </w:rPr>
            </w:pPr>
          </w:p>
        </w:tc>
        <w:tc>
          <w:tcPr>
            <w:tcW w:w="857" w:type="dxa"/>
          </w:tcPr>
          <w:p w14:paraId="113DA10F" w14:textId="77777777" w:rsidR="00211AE2" w:rsidRPr="00524EF1" w:rsidRDefault="00211AE2" w:rsidP="00BC6B7C">
            <w:pPr>
              <w:jc w:val="center"/>
              <w:rPr>
                <w:rFonts w:ascii="Calibri" w:hAnsi="Calibri" w:cs="Calibri"/>
                <w:bCs/>
                <w:lang w:val="en-GB"/>
              </w:rPr>
            </w:pPr>
          </w:p>
        </w:tc>
        <w:tc>
          <w:tcPr>
            <w:tcW w:w="2421" w:type="dxa"/>
          </w:tcPr>
          <w:p w14:paraId="04586FC7" w14:textId="77777777" w:rsidR="00211AE2" w:rsidRPr="00524EF1" w:rsidRDefault="00211AE2" w:rsidP="00BC6B7C">
            <w:pPr>
              <w:jc w:val="center"/>
              <w:rPr>
                <w:rFonts w:ascii="Calibri" w:hAnsi="Calibri" w:cs="Calibri"/>
                <w:bCs/>
                <w:lang w:val="en-US"/>
              </w:rPr>
            </w:pPr>
            <w:r w:rsidRPr="00524EF1">
              <w:rPr>
                <w:rFonts w:ascii="Calibri" w:hAnsi="Calibri" w:cs="Calibri"/>
                <w:bCs/>
                <w:lang w:val="en-US"/>
              </w:rPr>
              <w:t xml:space="preserve">Dia notificación / </w:t>
            </w:r>
            <w:r w:rsidRPr="00524EF1">
              <w:rPr>
                <w:rFonts w:ascii="Calibri" w:hAnsi="Calibri" w:cs="Calibri"/>
                <w:bCs/>
                <w:i/>
                <w:iCs/>
                <w:lang w:val="en-US"/>
              </w:rPr>
              <w:t xml:space="preserve">notification date </w:t>
            </w:r>
          </w:p>
          <w:p w14:paraId="4FC4E907" w14:textId="77777777" w:rsidR="00211AE2" w:rsidRPr="00524EF1" w:rsidRDefault="00211AE2" w:rsidP="00BC6B7C">
            <w:pPr>
              <w:jc w:val="center"/>
              <w:rPr>
                <w:rFonts w:ascii="Calibri" w:hAnsi="Calibri" w:cs="Calibri"/>
                <w:bCs/>
                <w:lang w:val="en-GB"/>
              </w:rPr>
            </w:pPr>
          </w:p>
        </w:tc>
      </w:tr>
      <w:tr w:rsidR="00211AE2" w:rsidRPr="00524EF1" w14:paraId="05054BD1" w14:textId="77777777" w:rsidTr="00BC6B7C">
        <w:trPr>
          <w:trHeight w:val="540"/>
        </w:trPr>
        <w:tc>
          <w:tcPr>
            <w:tcW w:w="655" w:type="dxa"/>
            <w:vAlign w:val="center"/>
          </w:tcPr>
          <w:p w14:paraId="5916F2D3" w14:textId="77777777" w:rsidR="00211AE2" w:rsidRPr="00524EF1" w:rsidRDefault="00211AE2" w:rsidP="00BC6B7C">
            <w:pPr>
              <w:jc w:val="center"/>
              <w:rPr>
                <w:rFonts w:ascii="Calibri" w:hAnsi="Calibri" w:cs="Calibri"/>
              </w:rPr>
            </w:pPr>
            <w:r w:rsidRPr="00524EF1">
              <w:rPr>
                <w:rFonts w:ascii="Calibri" w:hAnsi="Calibri" w:cs="Calibri"/>
              </w:rPr>
              <w:t>4</w:t>
            </w:r>
          </w:p>
        </w:tc>
        <w:tc>
          <w:tcPr>
            <w:tcW w:w="4496" w:type="dxa"/>
          </w:tcPr>
          <w:p w14:paraId="606E5B72" w14:textId="77777777" w:rsidR="00211AE2" w:rsidRPr="00524EF1" w:rsidRDefault="00211AE2" w:rsidP="00BC6B7C">
            <w:pPr>
              <w:rPr>
                <w:rFonts w:ascii="Calibri" w:hAnsi="Calibri" w:cs="Calibri"/>
              </w:rPr>
            </w:pPr>
            <w:r w:rsidRPr="00524EF1">
              <w:rPr>
                <w:rFonts w:ascii="Calibri" w:hAnsi="Calibri" w:cs="Calibri"/>
              </w:rPr>
              <w:t>Se ha notificado la operación de búnkering de GNL según las regulaciones de la terminal portuaria.</w:t>
            </w:r>
          </w:p>
          <w:p w14:paraId="04B7199B"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terminal has been notified about the LNG bunker operation as per terminal requirements.</w:t>
            </w:r>
          </w:p>
        </w:tc>
        <w:tc>
          <w:tcPr>
            <w:tcW w:w="873" w:type="dxa"/>
          </w:tcPr>
          <w:p w14:paraId="7F5E0614" w14:textId="77777777" w:rsidR="00211AE2" w:rsidRPr="00524EF1" w:rsidRDefault="00211AE2" w:rsidP="00BC6B7C">
            <w:pPr>
              <w:jc w:val="center"/>
              <w:rPr>
                <w:rFonts w:ascii="Calibri" w:hAnsi="Calibri" w:cs="Calibri"/>
                <w:bCs/>
                <w:lang w:val="en-GB"/>
              </w:rPr>
            </w:pPr>
          </w:p>
        </w:tc>
        <w:tc>
          <w:tcPr>
            <w:tcW w:w="857" w:type="dxa"/>
          </w:tcPr>
          <w:p w14:paraId="551C2500" w14:textId="77777777" w:rsidR="00211AE2" w:rsidRPr="00524EF1" w:rsidRDefault="00211AE2" w:rsidP="00BC6B7C">
            <w:pPr>
              <w:jc w:val="center"/>
              <w:rPr>
                <w:rFonts w:ascii="Calibri" w:hAnsi="Calibri" w:cs="Calibri"/>
                <w:bCs/>
                <w:lang w:val="en-GB"/>
              </w:rPr>
            </w:pPr>
          </w:p>
        </w:tc>
        <w:tc>
          <w:tcPr>
            <w:tcW w:w="2421" w:type="dxa"/>
          </w:tcPr>
          <w:p w14:paraId="33C45508" w14:textId="77777777" w:rsidR="00211AE2" w:rsidRPr="00524EF1" w:rsidRDefault="00211AE2" w:rsidP="00BC6B7C">
            <w:pPr>
              <w:jc w:val="center"/>
              <w:rPr>
                <w:rFonts w:ascii="Calibri" w:hAnsi="Calibri" w:cs="Calibri"/>
                <w:bCs/>
                <w:lang w:val="en-US"/>
              </w:rPr>
            </w:pPr>
            <w:r w:rsidRPr="00524EF1">
              <w:rPr>
                <w:rFonts w:ascii="Calibri" w:hAnsi="Calibri" w:cs="Calibri"/>
                <w:bCs/>
                <w:lang w:val="en-US"/>
              </w:rPr>
              <w:t xml:space="preserve">Dia notificación / </w:t>
            </w:r>
            <w:r w:rsidRPr="00524EF1">
              <w:rPr>
                <w:rFonts w:ascii="Calibri" w:hAnsi="Calibri" w:cs="Calibri"/>
                <w:bCs/>
                <w:i/>
                <w:iCs/>
                <w:lang w:val="en-US"/>
              </w:rPr>
              <w:t xml:space="preserve">notification date </w:t>
            </w:r>
          </w:p>
          <w:p w14:paraId="0DFEDA31" w14:textId="77777777" w:rsidR="00211AE2" w:rsidRPr="00524EF1" w:rsidRDefault="00211AE2" w:rsidP="00BC6B7C">
            <w:pPr>
              <w:jc w:val="center"/>
              <w:rPr>
                <w:rFonts w:ascii="Calibri" w:hAnsi="Calibri" w:cs="Calibri"/>
                <w:bCs/>
                <w:lang w:val="en-US"/>
              </w:rPr>
            </w:pPr>
          </w:p>
        </w:tc>
      </w:tr>
      <w:tr w:rsidR="00211AE2" w:rsidRPr="00450A01" w14:paraId="5F1F5ADB" w14:textId="77777777" w:rsidTr="00BC6B7C">
        <w:trPr>
          <w:trHeight w:val="540"/>
        </w:trPr>
        <w:tc>
          <w:tcPr>
            <w:tcW w:w="655" w:type="dxa"/>
            <w:vAlign w:val="center"/>
          </w:tcPr>
          <w:p w14:paraId="373A4560" w14:textId="77777777" w:rsidR="00211AE2" w:rsidRPr="00524EF1" w:rsidRDefault="00211AE2" w:rsidP="00BC6B7C">
            <w:pPr>
              <w:jc w:val="center"/>
              <w:rPr>
                <w:rFonts w:ascii="Calibri" w:hAnsi="Calibri" w:cs="Calibri"/>
              </w:rPr>
            </w:pPr>
            <w:r w:rsidRPr="00524EF1">
              <w:rPr>
                <w:rFonts w:ascii="Calibri" w:hAnsi="Calibri" w:cs="Calibri"/>
              </w:rPr>
              <w:t>5</w:t>
            </w:r>
          </w:p>
        </w:tc>
        <w:tc>
          <w:tcPr>
            <w:tcW w:w="4496" w:type="dxa"/>
          </w:tcPr>
          <w:p w14:paraId="51845368" w14:textId="77777777" w:rsidR="00211AE2" w:rsidRPr="00524EF1" w:rsidRDefault="00211AE2" w:rsidP="00BC6B7C">
            <w:pPr>
              <w:rPr>
                <w:rFonts w:ascii="Calibri" w:hAnsi="Calibri" w:cs="Calibri"/>
              </w:rPr>
            </w:pPr>
            <w:r w:rsidRPr="00524EF1">
              <w:rPr>
                <w:rFonts w:ascii="Calibri" w:hAnsi="Calibri" w:cs="Calibri"/>
              </w:rPr>
              <w:t>Se están cumpliendo los requisitos de las autoridades competentes.</w:t>
            </w:r>
          </w:p>
          <w:p w14:paraId="5C80AD52"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Competent authorities’ requirements are being</w:t>
            </w:r>
          </w:p>
          <w:p w14:paraId="4F861C3F" w14:textId="77777777" w:rsidR="00211AE2" w:rsidRPr="00524EF1" w:rsidRDefault="00211AE2" w:rsidP="00BC6B7C">
            <w:pPr>
              <w:rPr>
                <w:rFonts w:ascii="Calibri" w:hAnsi="Calibri" w:cs="Calibri"/>
                <w:lang w:val="en-US"/>
              </w:rPr>
            </w:pPr>
            <w:r w:rsidRPr="00524EF1">
              <w:rPr>
                <w:rFonts w:ascii="Calibri" w:hAnsi="Calibri" w:cs="Calibri"/>
                <w:i/>
                <w:iCs/>
                <w:lang w:val="en-US"/>
              </w:rPr>
              <w:t>observed.</w:t>
            </w:r>
          </w:p>
        </w:tc>
        <w:tc>
          <w:tcPr>
            <w:tcW w:w="873" w:type="dxa"/>
          </w:tcPr>
          <w:p w14:paraId="66F68795" w14:textId="77777777" w:rsidR="00211AE2" w:rsidRPr="00524EF1" w:rsidRDefault="00211AE2" w:rsidP="00BC6B7C">
            <w:pPr>
              <w:jc w:val="center"/>
              <w:rPr>
                <w:rFonts w:ascii="Calibri" w:hAnsi="Calibri" w:cs="Calibri"/>
                <w:bCs/>
                <w:lang w:val="en-US"/>
              </w:rPr>
            </w:pPr>
          </w:p>
        </w:tc>
        <w:tc>
          <w:tcPr>
            <w:tcW w:w="857" w:type="dxa"/>
          </w:tcPr>
          <w:p w14:paraId="1ABC5225" w14:textId="77777777" w:rsidR="00211AE2" w:rsidRPr="00524EF1" w:rsidRDefault="00211AE2" w:rsidP="00BC6B7C">
            <w:pPr>
              <w:jc w:val="center"/>
              <w:rPr>
                <w:rFonts w:ascii="Calibri" w:hAnsi="Calibri" w:cs="Calibri"/>
                <w:bCs/>
                <w:lang w:val="en-US"/>
              </w:rPr>
            </w:pPr>
          </w:p>
        </w:tc>
        <w:tc>
          <w:tcPr>
            <w:tcW w:w="2421" w:type="dxa"/>
          </w:tcPr>
          <w:p w14:paraId="45A82850" w14:textId="77777777" w:rsidR="00211AE2" w:rsidRPr="00524EF1" w:rsidRDefault="00211AE2" w:rsidP="00BC6B7C">
            <w:pPr>
              <w:jc w:val="center"/>
              <w:rPr>
                <w:rFonts w:ascii="Calibri" w:hAnsi="Calibri" w:cs="Calibri"/>
                <w:bCs/>
                <w:lang w:val="en-US"/>
              </w:rPr>
            </w:pPr>
          </w:p>
        </w:tc>
      </w:tr>
      <w:tr w:rsidR="00211AE2" w:rsidRPr="00450A01" w14:paraId="72FDC581" w14:textId="77777777" w:rsidTr="00BC6B7C">
        <w:trPr>
          <w:trHeight w:val="540"/>
        </w:trPr>
        <w:tc>
          <w:tcPr>
            <w:tcW w:w="655" w:type="dxa"/>
            <w:vAlign w:val="center"/>
          </w:tcPr>
          <w:p w14:paraId="50ED5C93" w14:textId="77777777" w:rsidR="00211AE2" w:rsidRPr="00524EF1" w:rsidRDefault="00211AE2" w:rsidP="00BC6B7C">
            <w:pPr>
              <w:jc w:val="center"/>
              <w:rPr>
                <w:rFonts w:ascii="Calibri" w:hAnsi="Calibri" w:cs="Calibri"/>
              </w:rPr>
            </w:pPr>
            <w:r w:rsidRPr="00524EF1">
              <w:rPr>
                <w:rFonts w:ascii="Calibri" w:hAnsi="Calibri" w:cs="Calibri"/>
              </w:rPr>
              <w:t>6</w:t>
            </w:r>
          </w:p>
        </w:tc>
        <w:tc>
          <w:tcPr>
            <w:tcW w:w="4496" w:type="dxa"/>
          </w:tcPr>
          <w:p w14:paraId="3D054526" w14:textId="77777777" w:rsidR="00211AE2" w:rsidRPr="00524EF1" w:rsidRDefault="00211AE2" w:rsidP="00BC6B7C">
            <w:pPr>
              <w:rPr>
                <w:rFonts w:ascii="Calibri" w:hAnsi="Calibri" w:cs="Calibri"/>
              </w:rPr>
            </w:pPr>
            <w:r w:rsidRPr="00524EF1">
              <w:rPr>
                <w:rFonts w:ascii="Calibri" w:hAnsi="Calibri" w:cs="Calibri"/>
              </w:rPr>
              <w:t>Se están cumpliendo los requisitos de la terminal portuaria.</w:t>
            </w:r>
          </w:p>
          <w:p w14:paraId="0E3AA32A"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Local terminal requirements are being observed.</w:t>
            </w:r>
          </w:p>
        </w:tc>
        <w:tc>
          <w:tcPr>
            <w:tcW w:w="873" w:type="dxa"/>
          </w:tcPr>
          <w:p w14:paraId="7A924C5C" w14:textId="77777777" w:rsidR="00211AE2" w:rsidRPr="00524EF1" w:rsidRDefault="00211AE2" w:rsidP="00BC6B7C">
            <w:pPr>
              <w:jc w:val="center"/>
              <w:rPr>
                <w:rFonts w:ascii="Calibri" w:hAnsi="Calibri" w:cs="Calibri"/>
                <w:bCs/>
                <w:lang w:val="en-US"/>
              </w:rPr>
            </w:pPr>
          </w:p>
        </w:tc>
        <w:tc>
          <w:tcPr>
            <w:tcW w:w="857" w:type="dxa"/>
          </w:tcPr>
          <w:p w14:paraId="598857E9" w14:textId="77777777" w:rsidR="00211AE2" w:rsidRPr="00524EF1" w:rsidRDefault="00211AE2" w:rsidP="00BC6B7C">
            <w:pPr>
              <w:jc w:val="center"/>
              <w:rPr>
                <w:rFonts w:ascii="Calibri" w:hAnsi="Calibri" w:cs="Calibri"/>
                <w:bCs/>
                <w:lang w:val="en-US"/>
              </w:rPr>
            </w:pPr>
          </w:p>
        </w:tc>
        <w:tc>
          <w:tcPr>
            <w:tcW w:w="2421" w:type="dxa"/>
          </w:tcPr>
          <w:p w14:paraId="5EA17476" w14:textId="77777777" w:rsidR="00211AE2" w:rsidRPr="00524EF1" w:rsidRDefault="00211AE2" w:rsidP="00BC6B7C">
            <w:pPr>
              <w:jc w:val="center"/>
              <w:rPr>
                <w:rFonts w:ascii="Calibri" w:hAnsi="Calibri" w:cs="Calibri"/>
                <w:bCs/>
                <w:lang w:val="en-US"/>
              </w:rPr>
            </w:pPr>
          </w:p>
        </w:tc>
      </w:tr>
      <w:tr w:rsidR="00211AE2" w:rsidRPr="00450A01" w14:paraId="3E3BCB73" w14:textId="77777777" w:rsidTr="00BC6B7C">
        <w:trPr>
          <w:trHeight w:val="540"/>
        </w:trPr>
        <w:tc>
          <w:tcPr>
            <w:tcW w:w="655" w:type="dxa"/>
            <w:vAlign w:val="center"/>
          </w:tcPr>
          <w:p w14:paraId="0C8EE29F" w14:textId="77777777" w:rsidR="00211AE2" w:rsidRPr="00524EF1" w:rsidRDefault="00211AE2" w:rsidP="00BC6B7C">
            <w:pPr>
              <w:jc w:val="center"/>
              <w:rPr>
                <w:rFonts w:ascii="Calibri" w:hAnsi="Calibri" w:cs="Calibri"/>
              </w:rPr>
            </w:pPr>
            <w:r w:rsidRPr="00524EF1">
              <w:rPr>
                <w:rFonts w:ascii="Calibri" w:hAnsi="Calibri" w:cs="Calibri"/>
              </w:rPr>
              <w:t>7</w:t>
            </w:r>
          </w:p>
        </w:tc>
        <w:tc>
          <w:tcPr>
            <w:tcW w:w="4496" w:type="dxa"/>
          </w:tcPr>
          <w:p w14:paraId="6098B1DF" w14:textId="77777777" w:rsidR="00211AE2" w:rsidRPr="00524EF1" w:rsidRDefault="00211AE2" w:rsidP="00BC6B7C">
            <w:pPr>
              <w:rPr>
                <w:rFonts w:ascii="Calibri" w:hAnsi="Calibri" w:cs="Calibri"/>
              </w:rPr>
            </w:pPr>
            <w:r w:rsidRPr="00524EF1">
              <w:rPr>
                <w:rFonts w:ascii="Calibri" w:hAnsi="Calibri" w:cs="Calibri"/>
              </w:rPr>
              <w:t>Todo el personal involucrado en la operación del bunkering de GNL tiene la capacitación adecuada y se le ha instruido sobre el equipo y los procedimientos específicos del bunker de GNL.</w:t>
            </w:r>
          </w:p>
          <w:p w14:paraId="5CEC961F" w14:textId="77777777" w:rsidR="00211AE2" w:rsidRPr="00524EF1" w:rsidRDefault="00211AE2" w:rsidP="00BC6B7C">
            <w:pPr>
              <w:rPr>
                <w:rFonts w:ascii="Calibri" w:hAnsi="Calibri" w:cs="Calibri"/>
                <w:i/>
                <w:iCs/>
                <w:lang w:val="en-US"/>
              </w:rPr>
            </w:pPr>
            <w:r w:rsidRPr="00524EF1">
              <w:rPr>
                <w:rFonts w:ascii="Calibri" w:hAnsi="Calibri" w:cs="Calibri"/>
                <w:i/>
                <w:iCs/>
                <w:lang w:val="en-US"/>
              </w:rPr>
              <w:lastRenderedPageBreak/>
              <w:t>All personnel involved in the LNG bunker operation have the appropriate training and have been instructed on the specific LNG bunker equipment and procedures.</w:t>
            </w:r>
          </w:p>
        </w:tc>
        <w:tc>
          <w:tcPr>
            <w:tcW w:w="873" w:type="dxa"/>
          </w:tcPr>
          <w:p w14:paraId="7B48027E" w14:textId="77777777" w:rsidR="00211AE2" w:rsidRPr="00524EF1" w:rsidRDefault="00211AE2" w:rsidP="00BC6B7C">
            <w:pPr>
              <w:jc w:val="center"/>
              <w:rPr>
                <w:rFonts w:ascii="Calibri" w:hAnsi="Calibri" w:cs="Calibri"/>
                <w:bCs/>
                <w:lang w:val="en-US"/>
              </w:rPr>
            </w:pPr>
          </w:p>
        </w:tc>
        <w:tc>
          <w:tcPr>
            <w:tcW w:w="857" w:type="dxa"/>
          </w:tcPr>
          <w:p w14:paraId="149496CF" w14:textId="77777777" w:rsidR="00211AE2" w:rsidRPr="00524EF1" w:rsidRDefault="00211AE2" w:rsidP="00BC6B7C">
            <w:pPr>
              <w:jc w:val="center"/>
              <w:rPr>
                <w:rFonts w:ascii="Calibri" w:hAnsi="Calibri" w:cs="Calibri"/>
                <w:bCs/>
                <w:lang w:val="en-US"/>
              </w:rPr>
            </w:pPr>
          </w:p>
        </w:tc>
        <w:tc>
          <w:tcPr>
            <w:tcW w:w="2421" w:type="dxa"/>
          </w:tcPr>
          <w:p w14:paraId="236A4091" w14:textId="77777777" w:rsidR="00211AE2" w:rsidRPr="00524EF1" w:rsidRDefault="00211AE2" w:rsidP="00BC6B7C">
            <w:pPr>
              <w:jc w:val="center"/>
              <w:rPr>
                <w:rFonts w:ascii="Calibri" w:hAnsi="Calibri" w:cs="Calibri"/>
                <w:bCs/>
                <w:lang w:val="en-US"/>
              </w:rPr>
            </w:pPr>
          </w:p>
        </w:tc>
      </w:tr>
      <w:tr w:rsidR="00211AE2" w:rsidRPr="00450A01" w14:paraId="57049C8A" w14:textId="77777777" w:rsidTr="00BC6B7C">
        <w:trPr>
          <w:trHeight w:val="540"/>
        </w:trPr>
        <w:tc>
          <w:tcPr>
            <w:tcW w:w="655" w:type="dxa"/>
            <w:vAlign w:val="center"/>
          </w:tcPr>
          <w:p w14:paraId="16F8CD47" w14:textId="77777777" w:rsidR="00211AE2" w:rsidRPr="00524EF1" w:rsidRDefault="00211AE2" w:rsidP="00BC6B7C">
            <w:pPr>
              <w:jc w:val="center"/>
              <w:rPr>
                <w:rFonts w:ascii="Calibri" w:hAnsi="Calibri" w:cs="Calibri"/>
              </w:rPr>
            </w:pPr>
            <w:r w:rsidRPr="00524EF1">
              <w:rPr>
                <w:rFonts w:ascii="Calibri" w:hAnsi="Calibri" w:cs="Calibri"/>
              </w:rPr>
              <w:t>8</w:t>
            </w:r>
          </w:p>
        </w:tc>
        <w:tc>
          <w:tcPr>
            <w:tcW w:w="4496" w:type="dxa"/>
          </w:tcPr>
          <w:p w14:paraId="61E7CFBE" w14:textId="77777777" w:rsidR="00211AE2" w:rsidRPr="00524EF1" w:rsidRDefault="00211AE2" w:rsidP="00BC6B7C">
            <w:pPr>
              <w:rPr>
                <w:rFonts w:ascii="Calibri" w:hAnsi="Calibri" w:cs="Calibri"/>
              </w:rPr>
            </w:pPr>
            <w:r w:rsidRPr="00524EF1">
              <w:rPr>
                <w:rFonts w:ascii="Calibri" w:hAnsi="Calibri" w:cs="Calibri"/>
              </w:rPr>
              <w:t>El área de operación del suministro está suficientemente iluminada.</w:t>
            </w:r>
          </w:p>
          <w:p w14:paraId="151999A5"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bunker operation area is sufficiently illuminated.</w:t>
            </w:r>
          </w:p>
        </w:tc>
        <w:tc>
          <w:tcPr>
            <w:tcW w:w="873" w:type="dxa"/>
          </w:tcPr>
          <w:p w14:paraId="12281ED1" w14:textId="77777777" w:rsidR="00211AE2" w:rsidRPr="00524EF1" w:rsidRDefault="00211AE2" w:rsidP="00BC6B7C">
            <w:pPr>
              <w:jc w:val="center"/>
              <w:rPr>
                <w:rFonts w:ascii="Calibri" w:hAnsi="Calibri" w:cs="Calibri"/>
                <w:bCs/>
                <w:lang w:val="en-US"/>
              </w:rPr>
            </w:pPr>
          </w:p>
        </w:tc>
        <w:tc>
          <w:tcPr>
            <w:tcW w:w="857" w:type="dxa"/>
          </w:tcPr>
          <w:p w14:paraId="28330388" w14:textId="77777777" w:rsidR="00211AE2" w:rsidRPr="00524EF1" w:rsidRDefault="00211AE2" w:rsidP="00BC6B7C">
            <w:pPr>
              <w:jc w:val="center"/>
              <w:rPr>
                <w:rFonts w:ascii="Calibri" w:hAnsi="Calibri" w:cs="Calibri"/>
                <w:bCs/>
                <w:lang w:val="en-US"/>
              </w:rPr>
            </w:pPr>
          </w:p>
        </w:tc>
        <w:tc>
          <w:tcPr>
            <w:tcW w:w="2421" w:type="dxa"/>
          </w:tcPr>
          <w:p w14:paraId="481B3672" w14:textId="77777777" w:rsidR="00211AE2" w:rsidRPr="00524EF1" w:rsidRDefault="00211AE2" w:rsidP="00BC6B7C">
            <w:pPr>
              <w:jc w:val="center"/>
              <w:rPr>
                <w:rFonts w:ascii="Calibri" w:hAnsi="Calibri" w:cs="Calibri"/>
                <w:bCs/>
                <w:lang w:val="en-US"/>
              </w:rPr>
            </w:pPr>
          </w:p>
        </w:tc>
      </w:tr>
      <w:tr w:rsidR="00211AE2" w:rsidRPr="00450A01" w14:paraId="3EE49F20" w14:textId="77777777" w:rsidTr="00BC6B7C">
        <w:trPr>
          <w:trHeight w:val="540"/>
        </w:trPr>
        <w:tc>
          <w:tcPr>
            <w:tcW w:w="655" w:type="dxa"/>
            <w:vAlign w:val="center"/>
          </w:tcPr>
          <w:p w14:paraId="66F62DE7" w14:textId="77777777" w:rsidR="00211AE2" w:rsidRPr="00524EF1" w:rsidRDefault="00211AE2" w:rsidP="00BC6B7C">
            <w:pPr>
              <w:jc w:val="center"/>
              <w:rPr>
                <w:rFonts w:ascii="Calibri" w:hAnsi="Calibri" w:cs="Calibri"/>
              </w:rPr>
            </w:pPr>
            <w:r w:rsidRPr="00524EF1">
              <w:rPr>
                <w:rFonts w:ascii="Calibri" w:hAnsi="Calibri" w:cs="Calibri"/>
              </w:rPr>
              <w:t>9</w:t>
            </w:r>
          </w:p>
        </w:tc>
        <w:tc>
          <w:tcPr>
            <w:tcW w:w="4496" w:type="dxa"/>
          </w:tcPr>
          <w:p w14:paraId="0D4BD39C" w14:textId="77777777" w:rsidR="00211AE2" w:rsidRPr="00524EF1" w:rsidRDefault="00211AE2" w:rsidP="00BC6B7C">
            <w:pPr>
              <w:rPr>
                <w:rFonts w:ascii="Calibri" w:hAnsi="Calibri" w:cs="Calibri"/>
              </w:rPr>
            </w:pPr>
            <w:r w:rsidRPr="00524EF1">
              <w:rPr>
                <w:rFonts w:ascii="Calibri" w:hAnsi="Calibri" w:cs="Calibri"/>
              </w:rPr>
              <w:t>Todos los equipos de detección de gas y transferencia de GNL están certificados, están en buenas condiciones y son adecuados para el servicio previsto.</w:t>
            </w:r>
          </w:p>
          <w:p w14:paraId="3101AF3C"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All LNG transfer and gas detection equipment is certified, in good condition and appropriate for the intended service.</w:t>
            </w:r>
          </w:p>
        </w:tc>
        <w:tc>
          <w:tcPr>
            <w:tcW w:w="873" w:type="dxa"/>
          </w:tcPr>
          <w:p w14:paraId="28AC670B" w14:textId="77777777" w:rsidR="00211AE2" w:rsidRPr="00524EF1" w:rsidRDefault="00211AE2" w:rsidP="00BC6B7C">
            <w:pPr>
              <w:jc w:val="center"/>
              <w:rPr>
                <w:rFonts w:ascii="Calibri" w:hAnsi="Calibri" w:cs="Calibri"/>
                <w:bCs/>
                <w:lang w:val="en-US"/>
              </w:rPr>
            </w:pPr>
          </w:p>
        </w:tc>
        <w:tc>
          <w:tcPr>
            <w:tcW w:w="857" w:type="dxa"/>
          </w:tcPr>
          <w:p w14:paraId="78F9C717" w14:textId="77777777" w:rsidR="00211AE2" w:rsidRPr="00524EF1" w:rsidRDefault="00211AE2" w:rsidP="00BC6B7C">
            <w:pPr>
              <w:jc w:val="center"/>
              <w:rPr>
                <w:rFonts w:ascii="Calibri" w:hAnsi="Calibri" w:cs="Calibri"/>
                <w:bCs/>
                <w:lang w:val="en-US"/>
              </w:rPr>
            </w:pPr>
          </w:p>
        </w:tc>
        <w:tc>
          <w:tcPr>
            <w:tcW w:w="2421" w:type="dxa"/>
          </w:tcPr>
          <w:p w14:paraId="2157C31B" w14:textId="77777777" w:rsidR="00211AE2" w:rsidRPr="00524EF1" w:rsidRDefault="00211AE2" w:rsidP="00BC6B7C">
            <w:pPr>
              <w:jc w:val="center"/>
              <w:rPr>
                <w:rFonts w:ascii="Calibri" w:hAnsi="Calibri" w:cs="Calibri"/>
                <w:bCs/>
                <w:lang w:val="en-US"/>
              </w:rPr>
            </w:pPr>
          </w:p>
        </w:tc>
      </w:tr>
      <w:tr w:rsidR="00211AE2" w:rsidRPr="00524EF1" w14:paraId="6A112736" w14:textId="77777777" w:rsidTr="00BC6B7C">
        <w:trPr>
          <w:trHeight w:val="540"/>
        </w:trPr>
        <w:tc>
          <w:tcPr>
            <w:tcW w:w="655" w:type="dxa"/>
            <w:vAlign w:val="center"/>
          </w:tcPr>
          <w:p w14:paraId="63B970EE" w14:textId="77777777" w:rsidR="00211AE2" w:rsidRPr="00524EF1" w:rsidRDefault="00211AE2" w:rsidP="00BC6B7C">
            <w:pPr>
              <w:jc w:val="center"/>
              <w:rPr>
                <w:rFonts w:ascii="Calibri" w:hAnsi="Calibri" w:cs="Calibri"/>
              </w:rPr>
            </w:pPr>
            <w:r w:rsidRPr="00524EF1">
              <w:rPr>
                <w:rFonts w:ascii="Calibri" w:hAnsi="Calibri" w:cs="Calibri"/>
              </w:rPr>
              <w:t>10</w:t>
            </w:r>
          </w:p>
        </w:tc>
        <w:tc>
          <w:tcPr>
            <w:tcW w:w="4496" w:type="dxa"/>
          </w:tcPr>
          <w:p w14:paraId="5C2E4049" w14:textId="77777777" w:rsidR="00211AE2" w:rsidRPr="00524EF1" w:rsidRDefault="00211AE2" w:rsidP="00BC6B7C">
            <w:pPr>
              <w:rPr>
                <w:rFonts w:ascii="Calibri" w:hAnsi="Calibri" w:cs="Calibri"/>
              </w:rPr>
            </w:pPr>
            <w:r w:rsidRPr="00524EF1">
              <w:rPr>
                <w:rFonts w:ascii="Calibri" w:hAnsi="Calibri" w:cs="Calibri"/>
              </w:rPr>
              <w:t>Se han acordado los procedimientos para las operaciones de abastecimiento de combustible, enfriamiento y purga.</w:t>
            </w:r>
          </w:p>
          <w:p w14:paraId="75652AF3"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procedures for bunkering, cooling down and purging operations have been agreed upon.</w:t>
            </w:r>
          </w:p>
        </w:tc>
        <w:tc>
          <w:tcPr>
            <w:tcW w:w="873" w:type="dxa"/>
          </w:tcPr>
          <w:p w14:paraId="452DA4D6" w14:textId="77777777" w:rsidR="00211AE2" w:rsidRPr="00524EF1" w:rsidRDefault="00211AE2" w:rsidP="00BC6B7C">
            <w:pPr>
              <w:jc w:val="center"/>
              <w:rPr>
                <w:rFonts w:ascii="Calibri" w:hAnsi="Calibri" w:cs="Calibri"/>
                <w:bCs/>
                <w:lang w:val="en-US"/>
              </w:rPr>
            </w:pPr>
          </w:p>
        </w:tc>
        <w:tc>
          <w:tcPr>
            <w:tcW w:w="857" w:type="dxa"/>
          </w:tcPr>
          <w:p w14:paraId="031989A0" w14:textId="77777777" w:rsidR="00211AE2" w:rsidRPr="00524EF1" w:rsidRDefault="00211AE2" w:rsidP="00BC6B7C">
            <w:pPr>
              <w:jc w:val="center"/>
              <w:rPr>
                <w:rFonts w:ascii="Calibri" w:hAnsi="Calibri" w:cs="Calibri"/>
                <w:bCs/>
                <w:lang w:val="en-US"/>
              </w:rPr>
            </w:pPr>
          </w:p>
        </w:tc>
        <w:tc>
          <w:tcPr>
            <w:tcW w:w="2421" w:type="dxa"/>
          </w:tcPr>
          <w:p w14:paraId="05C1777A" w14:textId="77777777" w:rsidR="00211AE2" w:rsidRPr="00524EF1" w:rsidRDefault="00211AE2" w:rsidP="00BC6B7C">
            <w:pPr>
              <w:jc w:val="center"/>
              <w:rPr>
                <w:rFonts w:ascii="Calibri" w:hAnsi="Calibri" w:cs="Calibri"/>
                <w:bCs/>
              </w:rPr>
            </w:pPr>
            <w:r w:rsidRPr="00524EF1">
              <w:rPr>
                <w:rFonts w:ascii="Calibri" w:hAnsi="Calibri" w:cs="Calibri"/>
                <w:bCs/>
              </w:rPr>
              <w:t xml:space="preserve">Referencia de procedimiento/ </w:t>
            </w:r>
            <w:r w:rsidRPr="00524EF1">
              <w:rPr>
                <w:rFonts w:ascii="Calibri" w:hAnsi="Calibri" w:cs="Calibri"/>
                <w:bCs/>
                <w:i/>
                <w:iCs/>
              </w:rPr>
              <w:t>Referenced procedure</w:t>
            </w:r>
          </w:p>
        </w:tc>
      </w:tr>
      <w:tr w:rsidR="00211AE2" w:rsidRPr="00524EF1" w14:paraId="5B15FD72" w14:textId="77777777" w:rsidTr="00BC6B7C">
        <w:trPr>
          <w:trHeight w:val="540"/>
        </w:trPr>
        <w:tc>
          <w:tcPr>
            <w:tcW w:w="655" w:type="dxa"/>
            <w:vAlign w:val="center"/>
          </w:tcPr>
          <w:p w14:paraId="2F1A33AD" w14:textId="77777777" w:rsidR="00211AE2" w:rsidRPr="00524EF1" w:rsidRDefault="00211AE2" w:rsidP="00BC6B7C">
            <w:pPr>
              <w:jc w:val="center"/>
              <w:rPr>
                <w:rFonts w:ascii="Calibri" w:hAnsi="Calibri" w:cs="Calibri"/>
              </w:rPr>
            </w:pPr>
            <w:r w:rsidRPr="00524EF1">
              <w:rPr>
                <w:rFonts w:ascii="Calibri" w:hAnsi="Calibri" w:cs="Calibri"/>
              </w:rPr>
              <w:t>11</w:t>
            </w:r>
          </w:p>
        </w:tc>
        <w:tc>
          <w:tcPr>
            <w:tcW w:w="4496" w:type="dxa"/>
          </w:tcPr>
          <w:p w14:paraId="1B3D4213" w14:textId="77777777" w:rsidR="00211AE2" w:rsidRPr="00524EF1" w:rsidRDefault="00211AE2" w:rsidP="00BC6B7C">
            <w:pPr>
              <w:rPr>
                <w:rFonts w:ascii="Calibri" w:hAnsi="Calibri" w:cs="Calibri"/>
              </w:rPr>
            </w:pPr>
            <w:r w:rsidRPr="00524EF1">
              <w:rPr>
                <w:rFonts w:ascii="Calibri" w:hAnsi="Calibri" w:cs="Calibri"/>
              </w:rPr>
              <w:t>Se ha acordado el caudal máximo de suministro y/o el número de bombas a emplear y la presión máxima se suministro</w:t>
            </w:r>
          </w:p>
          <w:p w14:paraId="181C9EA8"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maximum transfer Flow rate and/or the number of pumps to be used and the maximum supply pressure have been agreed upon.</w:t>
            </w:r>
          </w:p>
        </w:tc>
        <w:tc>
          <w:tcPr>
            <w:tcW w:w="873" w:type="dxa"/>
          </w:tcPr>
          <w:p w14:paraId="1CFF5F03" w14:textId="77777777" w:rsidR="00211AE2" w:rsidRPr="00524EF1" w:rsidRDefault="00211AE2" w:rsidP="00BC6B7C">
            <w:pPr>
              <w:jc w:val="center"/>
              <w:rPr>
                <w:rFonts w:ascii="Calibri" w:hAnsi="Calibri" w:cs="Calibri"/>
                <w:bCs/>
                <w:lang w:val="en-US"/>
              </w:rPr>
            </w:pPr>
          </w:p>
        </w:tc>
        <w:tc>
          <w:tcPr>
            <w:tcW w:w="857" w:type="dxa"/>
          </w:tcPr>
          <w:p w14:paraId="0BECB09D" w14:textId="77777777" w:rsidR="00211AE2" w:rsidRPr="00524EF1" w:rsidRDefault="00211AE2" w:rsidP="00BC6B7C">
            <w:pPr>
              <w:jc w:val="center"/>
              <w:rPr>
                <w:rFonts w:ascii="Calibri" w:hAnsi="Calibri" w:cs="Calibri"/>
                <w:bCs/>
                <w:lang w:val="en-US"/>
              </w:rPr>
            </w:pPr>
          </w:p>
        </w:tc>
        <w:tc>
          <w:tcPr>
            <w:tcW w:w="2421" w:type="dxa"/>
          </w:tcPr>
          <w:p w14:paraId="12402532" w14:textId="77777777" w:rsidR="00211AE2" w:rsidRPr="00B81BC7" w:rsidRDefault="00211AE2" w:rsidP="00BC6B7C">
            <w:pPr>
              <w:jc w:val="center"/>
              <w:rPr>
                <w:rFonts w:ascii="Calibri" w:hAnsi="Calibri" w:cs="Calibri"/>
                <w:bCs/>
                <w:lang w:val="pt-BR"/>
              </w:rPr>
            </w:pPr>
            <w:r w:rsidRPr="00B81BC7">
              <w:rPr>
                <w:rFonts w:ascii="Calibri" w:hAnsi="Calibri" w:cs="Calibri"/>
                <w:bCs/>
                <w:lang w:val="pt-BR"/>
              </w:rPr>
              <w:t xml:space="preserve">Caudal máximo / </w:t>
            </w:r>
            <w:r w:rsidRPr="00B81BC7">
              <w:rPr>
                <w:rFonts w:ascii="Calibri" w:hAnsi="Calibri" w:cs="Calibri"/>
                <w:bCs/>
                <w:i/>
                <w:iCs/>
                <w:lang w:val="pt-BR"/>
              </w:rPr>
              <w:t>Maximum flow rate</w:t>
            </w:r>
            <w:r w:rsidRPr="00B81BC7">
              <w:rPr>
                <w:rFonts w:ascii="Calibri" w:hAnsi="Calibri" w:cs="Calibri"/>
                <w:bCs/>
                <w:lang w:val="pt-BR"/>
              </w:rPr>
              <w:t>:</w:t>
            </w:r>
          </w:p>
          <w:p w14:paraId="41DF9E72" w14:textId="77777777" w:rsidR="00211AE2" w:rsidRPr="00B81BC7" w:rsidRDefault="00211AE2" w:rsidP="00BC6B7C">
            <w:pPr>
              <w:jc w:val="right"/>
              <w:rPr>
                <w:rFonts w:ascii="Calibri" w:hAnsi="Calibri" w:cs="Calibri"/>
                <w:bCs/>
                <w:lang w:val="pt-BR"/>
              </w:rPr>
            </w:pPr>
            <w:r w:rsidRPr="00B81BC7">
              <w:rPr>
                <w:rFonts w:ascii="Calibri" w:hAnsi="Calibri" w:cs="Calibri"/>
                <w:bCs/>
                <w:lang w:val="pt-BR"/>
              </w:rPr>
              <w:t xml:space="preserve">        m</w:t>
            </w:r>
            <w:r w:rsidRPr="00B81BC7">
              <w:rPr>
                <w:rFonts w:ascii="Calibri" w:hAnsi="Calibri" w:cs="Calibri"/>
                <w:bCs/>
                <w:vertAlign w:val="superscript"/>
                <w:lang w:val="pt-BR"/>
              </w:rPr>
              <w:t>3</w:t>
            </w:r>
            <w:r w:rsidRPr="00B81BC7">
              <w:rPr>
                <w:rFonts w:ascii="Calibri" w:hAnsi="Calibri" w:cs="Calibri"/>
                <w:bCs/>
                <w:lang w:val="pt-BR"/>
              </w:rPr>
              <w:t>/h</w:t>
            </w:r>
          </w:p>
          <w:p w14:paraId="3ACE467E" w14:textId="77777777" w:rsidR="00211AE2" w:rsidRPr="00B81BC7" w:rsidRDefault="00211AE2" w:rsidP="00BC6B7C">
            <w:pPr>
              <w:jc w:val="center"/>
              <w:rPr>
                <w:rFonts w:ascii="Calibri" w:hAnsi="Calibri" w:cs="Calibri"/>
                <w:bCs/>
                <w:lang w:val="pt-BR"/>
              </w:rPr>
            </w:pPr>
            <w:r w:rsidRPr="00B81BC7">
              <w:rPr>
                <w:rFonts w:ascii="Calibri" w:hAnsi="Calibri" w:cs="Calibri"/>
                <w:bCs/>
                <w:lang w:val="pt-BR"/>
              </w:rPr>
              <w:t xml:space="preserve">Nº de bombas/ </w:t>
            </w:r>
            <w:r w:rsidRPr="00B81BC7">
              <w:rPr>
                <w:rFonts w:ascii="Calibri" w:hAnsi="Calibri" w:cs="Calibri"/>
                <w:bCs/>
                <w:i/>
                <w:iCs/>
                <w:lang w:val="pt-BR"/>
              </w:rPr>
              <w:t>No. of pumps</w:t>
            </w:r>
            <w:r w:rsidRPr="00B81BC7">
              <w:rPr>
                <w:rFonts w:ascii="Calibri" w:hAnsi="Calibri" w:cs="Calibri"/>
                <w:bCs/>
                <w:lang w:val="pt-BR"/>
              </w:rPr>
              <w:t>:</w:t>
            </w:r>
          </w:p>
          <w:p w14:paraId="167329C4" w14:textId="77777777" w:rsidR="00211AE2" w:rsidRPr="00524EF1" w:rsidRDefault="00211AE2" w:rsidP="00BC6B7C">
            <w:pPr>
              <w:jc w:val="center"/>
              <w:rPr>
                <w:rFonts w:ascii="Calibri" w:hAnsi="Calibri" w:cs="Calibri"/>
                <w:bCs/>
              </w:rPr>
            </w:pPr>
            <w:r w:rsidRPr="00524EF1">
              <w:rPr>
                <w:rFonts w:ascii="Calibri" w:hAnsi="Calibri" w:cs="Calibri"/>
                <w:bCs/>
              </w:rPr>
              <w:t>Max Pres.:              bar(g)</w:t>
            </w:r>
          </w:p>
        </w:tc>
      </w:tr>
      <w:tr w:rsidR="00211AE2" w:rsidRPr="00524EF1" w14:paraId="7376F283" w14:textId="77777777" w:rsidTr="00BC6B7C">
        <w:trPr>
          <w:trHeight w:val="540"/>
        </w:trPr>
        <w:tc>
          <w:tcPr>
            <w:tcW w:w="655" w:type="dxa"/>
            <w:vAlign w:val="center"/>
          </w:tcPr>
          <w:p w14:paraId="75A8F5EC" w14:textId="77777777" w:rsidR="00211AE2" w:rsidRPr="00524EF1" w:rsidRDefault="00211AE2" w:rsidP="00BC6B7C">
            <w:pPr>
              <w:jc w:val="center"/>
              <w:rPr>
                <w:rFonts w:ascii="Calibri" w:hAnsi="Calibri" w:cs="Calibri"/>
              </w:rPr>
            </w:pPr>
            <w:r w:rsidRPr="00524EF1">
              <w:rPr>
                <w:rFonts w:ascii="Calibri" w:hAnsi="Calibri" w:cs="Calibri"/>
              </w:rPr>
              <w:t>12</w:t>
            </w:r>
          </w:p>
        </w:tc>
        <w:tc>
          <w:tcPr>
            <w:tcW w:w="4496" w:type="dxa"/>
          </w:tcPr>
          <w:p w14:paraId="6DEF5412" w14:textId="77777777" w:rsidR="00211AE2" w:rsidRPr="00524EF1" w:rsidRDefault="00211AE2" w:rsidP="00BC6B7C">
            <w:pPr>
              <w:rPr>
                <w:rFonts w:ascii="Calibri" w:hAnsi="Calibri" w:cs="Calibri"/>
              </w:rPr>
            </w:pPr>
            <w:r w:rsidRPr="00524EF1">
              <w:rPr>
                <w:rFonts w:ascii="Calibri" w:hAnsi="Calibri" w:cs="Calibri"/>
              </w:rPr>
              <w:t xml:space="preserve">El sistema y el método de aislamiento eléctrico han sido acordados por ambas partes, barco y terminal de bunker y está correctamente instalado. </w:t>
            </w:r>
          </w:p>
          <w:p w14:paraId="117921C4"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system and method of electrical insulation have been agreed upon by ship and bunkering terminal an is correctly installed.</w:t>
            </w:r>
          </w:p>
        </w:tc>
        <w:tc>
          <w:tcPr>
            <w:tcW w:w="873" w:type="dxa"/>
          </w:tcPr>
          <w:p w14:paraId="6F110CFB" w14:textId="77777777" w:rsidR="00211AE2" w:rsidRPr="00524EF1" w:rsidRDefault="00211AE2" w:rsidP="00BC6B7C">
            <w:pPr>
              <w:jc w:val="center"/>
              <w:rPr>
                <w:rFonts w:ascii="Calibri" w:hAnsi="Calibri" w:cs="Calibri"/>
                <w:bCs/>
                <w:lang w:val="en-US"/>
              </w:rPr>
            </w:pPr>
          </w:p>
        </w:tc>
        <w:tc>
          <w:tcPr>
            <w:tcW w:w="857" w:type="dxa"/>
          </w:tcPr>
          <w:p w14:paraId="7C2BDC89" w14:textId="77777777" w:rsidR="00211AE2" w:rsidRPr="00524EF1" w:rsidRDefault="00211AE2" w:rsidP="00BC6B7C">
            <w:pPr>
              <w:jc w:val="center"/>
              <w:rPr>
                <w:rFonts w:ascii="Calibri" w:hAnsi="Calibri" w:cs="Calibri"/>
                <w:bCs/>
                <w:lang w:val="en-US"/>
              </w:rPr>
            </w:pPr>
          </w:p>
        </w:tc>
        <w:tc>
          <w:tcPr>
            <w:tcW w:w="2421" w:type="dxa"/>
          </w:tcPr>
          <w:p w14:paraId="39B86E94" w14:textId="77777777" w:rsidR="00211AE2" w:rsidRPr="00524EF1" w:rsidRDefault="00211AE2" w:rsidP="00BC6B7C">
            <w:pPr>
              <w:jc w:val="center"/>
              <w:rPr>
                <w:rFonts w:ascii="Calibri" w:hAnsi="Calibri" w:cs="Calibri"/>
                <w:bCs/>
                <w:lang w:val="en-US"/>
              </w:rPr>
            </w:pPr>
            <w:r w:rsidRPr="00524EF1">
              <w:rPr>
                <w:rFonts w:ascii="Calibri" w:hAnsi="Calibri" w:cs="Calibri"/>
                <w:bCs/>
                <w:lang w:val="en-US"/>
              </w:rPr>
              <w:t>Método/Method</w:t>
            </w:r>
          </w:p>
        </w:tc>
      </w:tr>
      <w:tr w:rsidR="00211AE2" w:rsidRPr="00524EF1" w14:paraId="457F0156" w14:textId="77777777" w:rsidTr="00BC6B7C">
        <w:trPr>
          <w:trHeight w:val="540"/>
        </w:trPr>
        <w:tc>
          <w:tcPr>
            <w:tcW w:w="655" w:type="dxa"/>
            <w:vAlign w:val="center"/>
          </w:tcPr>
          <w:p w14:paraId="3542881F" w14:textId="77777777" w:rsidR="00211AE2" w:rsidRPr="00524EF1" w:rsidRDefault="00211AE2" w:rsidP="00BC6B7C">
            <w:pPr>
              <w:jc w:val="center"/>
              <w:rPr>
                <w:rFonts w:ascii="Calibri" w:hAnsi="Calibri" w:cs="Calibri"/>
              </w:rPr>
            </w:pPr>
            <w:r w:rsidRPr="00524EF1">
              <w:rPr>
                <w:rFonts w:ascii="Calibri" w:hAnsi="Calibri" w:cs="Calibri"/>
              </w:rPr>
              <w:t>13</w:t>
            </w:r>
          </w:p>
        </w:tc>
        <w:tc>
          <w:tcPr>
            <w:tcW w:w="4496" w:type="dxa"/>
          </w:tcPr>
          <w:p w14:paraId="546CE2E7" w14:textId="77777777" w:rsidR="00211AE2" w:rsidRPr="00524EF1" w:rsidRDefault="00211AE2" w:rsidP="00BC6B7C">
            <w:pPr>
              <w:rPr>
                <w:rFonts w:ascii="Calibri" w:hAnsi="Calibri" w:cs="Calibri"/>
              </w:rPr>
            </w:pPr>
            <w:r w:rsidRPr="00524EF1">
              <w:rPr>
                <w:rFonts w:ascii="Calibri" w:hAnsi="Calibri" w:cs="Calibri"/>
              </w:rPr>
              <w:t>Se han colocado los elementos adecuados de señalización, rodeando la zona de maniobra y mangueras/brazos de carga, estableciendo el área restringida. Se ha limitado la circulación de vehículos y personas. Esta área está delimitada por señales apropiadas.</w:t>
            </w:r>
          </w:p>
          <w:p w14:paraId="7049A95B" w14:textId="77777777" w:rsidR="00211AE2" w:rsidRPr="00524EF1" w:rsidRDefault="00211AE2" w:rsidP="00BC6B7C">
            <w:pPr>
              <w:rPr>
                <w:rFonts w:ascii="Calibri" w:hAnsi="Calibri" w:cs="Calibri"/>
                <w:i/>
                <w:iCs/>
                <w:lang w:val="en-US"/>
              </w:rPr>
            </w:pPr>
            <w:r w:rsidRPr="00524EF1">
              <w:rPr>
                <w:rFonts w:ascii="Calibri" w:hAnsi="Calibri" w:cs="Calibri"/>
                <w:i/>
                <w:iCs/>
                <w:lang w:val="en-US"/>
              </w:rPr>
              <w:lastRenderedPageBreak/>
              <w:t>Signal items and fences have been placed around maneuvering zone and hoses/loading arms, establishing the restricted area. Foot and vehicle traffic have been restricted. Appropriate signs mark this area.</w:t>
            </w:r>
          </w:p>
        </w:tc>
        <w:tc>
          <w:tcPr>
            <w:tcW w:w="873" w:type="dxa"/>
          </w:tcPr>
          <w:p w14:paraId="54F30869" w14:textId="77777777" w:rsidR="00211AE2" w:rsidRPr="00524EF1" w:rsidRDefault="00211AE2" w:rsidP="00BC6B7C">
            <w:pPr>
              <w:jc w:val="center"/>
              <w:rPr>
                <w:rFonts w:ascii="Calibri" w:hAnsi="Calibri" w:cs="Calibri"/>
                <w:bCs/>
                <w:lang w:val="en-US"/>
              </w:rPr>
            </w:pPr>
          </w:p>
        </w:tc>
        <w:tc>
          <w:tcPr>
            <w:tcW w:w="857" w:type="dxa"/>
          </w:tcPr>
          <w:p w14:paraId="0A9683D5" w14:textId="77777777" w:rsidR="00211AE2" w:rsidRPr="00524EF1" w:rsidRDefault="00211AE2" w:rsidP="00BC6B7C">
            <w:pPr>
              <w:jc w:val="center"/>
              <w:rPr>
                <w:rFonts w:ascii="Calibri" w:hAnsi="Calibri" w:cs="Calibri"/>
                <w:bCs/>
                <w:lang w:val="en-US"/>
              </w:rPr>
            </w:pPr>
          </w:p>
        </w:tc>
        <w:tc>
          <w:tcPr>
            <w:tcW w:w="2421" w:type="dxa"/>
          </w:tcPr>
          <w:p w14:paraId="4B4C3422" w14:textId="77777777" w:rsidR="00211AE2" w:rsidRPr="00524EF1" w:rsidRDefault="00211AE2" w:rsidP="00BC6B7C">
            <w:pPr>
              <w:jc w:val="center"/>
              <w:rPr>
                <w:rFonts w:ascii="Calibri" w:hAnsi="Calibri" w:cs="Calibri"/>
              </w:rPr>
            </w:pPr>
            <w:r w:rsidRPr="00524EF1">
              <w:rPr>
                <w:rFonts w:ascii="Calibri" w:hAnsi="Calibri" w:cs="Calibri"/>
              </w:rPr>
              <w:t xml:space="preserve">Zona de seguridad / </w:t>
            </w:r>
            <w:r w:rsidRPr="00524EF1">
              <w:rPr>
                <w:rFonts w:ascii="Calibri" w:hAnsi="Calibri" w:cs="Calibri"/>
                <w:i/>
                <w:iCs/>
              </w:rPr>
              <w:t>Safety zone</w:t>
            </w:r>
            <w:r w:rsidRPr="00524EF1">
              <w:rPr>
                <w:rFonts w:ascii="Calibri" w:hAnsi="Calibri" w:cs="Calibri"/>
              </w:rPr>
              <w:t>:</w:t>
            </w:r>
          </w:p>
          <w:p w14:paraId="4578C734" w14:textId="77777777" w:rsidR="00211AE2" w:rsidRPr="00524EF1" w:rsidRDefault="00211AE2" w:rsidP="00BC6B7C">
            <w:pPr>
              <w:jc w:val="center"/>
              <w:rPr>
                <w:rFonts w:ascii="Calibri" w:hAnsi="Calibri" w:cs="Calibri"/>
                <w:bCs/>
              </w:rPr>
            </w:pPr>
          </w:p>
        </w:tc>
      </w:tr>
      <w:tr w:rsidR="00211AE2" w:rsidRPr="00450A01" w14:paraId="713849AC" w14:textId="77777777" w:rsidTr="00BC6B7C">
        <w:trPr>
          <w:trHeight w:val="540"/>
        </w:trPr>
        <w:tc>
          <w:tcPr>
            <w:tcW w:w="655" w:type="dxa"/>
            <w:vAlign w:val="center"/>
          </w:tcPr>
          <w:p w14:paraId="34632C37" w14:textId="77777777" w:rsidR="00211AE2" w:rsidRPr="00524EF1" w:rsidRDefault="00211AE2" w:rsidP="00BC6B7C">
            <w:pPr>
              <w:jc w:val="center"/>
              <w:rPr>
                <w:rFonts w:ascii="Calibri" w:hAnsi="Calibri" w:cs="Calibri"/>
              </w:rPr>
            </w:pPr>
            <w:r w:rsidRPr="00524EF1">
              <w:rPr>
                <w:rFonts w:ascii="Calibri" w:hAnsi="Calibri" w:cs="Calibri"/>
              </w:rPr>
              <w:t>14</w:t>
            </w:r>
          </w:p>
        </w:tc>
        <w:tc>
          <w:tcPr>
            <w:tcW w:w="4496" w:type="dxa"/>
          </w:tcPr>
          <w:p w14:paraId="5BA40A01" w14:textId="77777777" w:rsidR="00211AE2" w:rsidRPr="00524EF1" w:rsidRDefault="00211AE2" w:rsidP="00BC6B7C">
            <w:pPr>
              <w:rPr>
                <w:rFonts w:ascii="Calibri" w:hAnsi="Calibri" w:cs="Calibri"/>
              </w:rPr>
            </w:pPr>
            <w:r w:rsidRPr="00524EF1">
              <w:rPr>
                <w:rFonts w:ascii="Calibri" w:hAnsi="Calibri" w:cs="Calibri"/>
              </w:rPr>
              <w:t>En el barco, se impide el acceso a personas ajenas a la operación a aquellas áreas que se encuentren dentro de la zona de seguridad acordada.</w:t>
            </w:r>
          </w:p>
          <w:p w14:paraId="3F20A1E7"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access to the agreed on board safety zone of people not involved in the operation is restricted.</w:t>
            </w:r>
          </w:p>
        </w:tc>
        <w:tc>
          <w:tcPr>
            <w:tcW w:w="873" w:type="dxa"/>
          </w:tcPr>
          <w:p w14:paraId="61EFF714" w14:textId="77777777" w:rsidR="00211AE2" w:rsidRPr="00524EF1" w:rsidRDefault="00211AE2" w:rsidP="00BC6B7C">
            <w:pPr>
              <w:jc w:val="center"/>
              <w:rPr>
                <w:rFonts w:ascii="Calibri" w:hAnsi="Calibri" w:cs="Calibri"/>
                <w:bCs/>
                <w:lang w:val="en-US"/>
              </w:rPr>
            </w:pPr>
          </w:p>
        </w:tc>
        <w:tc>
          <w:tcPr>
            <w:tcW w:w="857" w:type="dxa"/>
          </w:tcPr>
          <w:p w14:paraId="4DE6A424" w14:textId="77777777" w:rsidR="00211AE2" w:rsidRPr="00524EF1" w:rsidRDefault="00211AE2" w:rsidP="00BC6B7C">
            <w:pPr>
              <w:jc w:val="center"/>
              <w:rPr>
                <w:rFonts w:ascii="Calibri" w:hAnsi="Calibri" w:cs="Calibri"/>
                <w:bCs/>
                <w:lang w:val="en-US"/>
              </w:rPr>
            </w:pPr>
          </w:p>
        </w:tc>
        <w:tc>
          <w:tcPr>
            <w:tcW w:w="2421" w:type="dxa"/>
          </w:tcPr>
          <w:p w14:paraId="2433C5CF" w14:textId="77777777" w:rsidR="00211AE2" w:rsidRPr="00524EF1" w:rsidRDefault="00211AE2" w:rsidP="00BC6B7C">
            <w:pPr>
              <w:jc w:val="center"/>
              <w:rPr>
                <w:rFonts w:ascii="Calibri" w:hAnsi="Calibri" w:cs="Calibri"/>
                <w:lang w:val="en-US"/>
              </w:rPr>
            </w:pPr>
          </w:p>
        </w:tc>
      </w:tr>
      <w:tr w:rsidR="00211AE2" w:rsidRPr="00450A01" w14:paraId="1E97216A" w14:textId="77777777" w:rsidTr="00BC6B7C">
        <w:trPr>
          <w:trHeight w:val="540"/>
        </w:trPr>
        <w:tc>
          <w:tcPr>
            <w:tcW w:w="655" w:type="dxa"/>
            <w:vAlign w:val="center"/>
          </w:tcPr>
          <w:p w14:paraId="176F4386" w14:textId="77777777" w:rsidR="00211AE2" w:rsidRPr="00524EF1" w:rsidRDefault="00211AE2" w:rsidP="00BC6B7C">
            <w:pPr>
              <w:jc w:val="center"/>
              <w:rPr>
                <w:rFonts w:ascii="Calibri" w:hAnsi="Calibri" w:cs="Calibri"/>
              </w:rPr>
            </w:pPr>
            <w:r w:rsidRPr="00524EF1">
              <w:rPr>
                <w:rFonts w:ascii="Calibri" w:hAnsi="Calibri" w:cs="Calibri"/>
              </w:rPr>
              <w:t>15</w:t>
            </w:r>
          </w:p>
        </w:tc>
        <w:tc>
          <w:tcPr>
            <w:tcW w:w="4496" w:type="dxa"/>
          </w:tcPr>
          <w:p w14:paraId="227E1EDC" w14:textId="77777777" w:rsidR="00211AE2" w:rsidRPr="00524EF1" w:rsidRDefault="00211AE2" w:rsidP="00BC6B7C">
            <w:pPr>
              <w:rPr>
                <w:rFonts w:ascii="Calibri" w:hAnsi="Calibri" w:cs="Calibri"/>
              </w:rPr>
            </w:pPr>
            <w:r w:rsidRPr="00524EF1">
              <w:rPr>
                <w:rFonts w:ascii="Calibri" w:hAnsi="Calibri" w:cs="Calibri"/>
              </w:rPr>
              <w:t>Se vigila el cumplimiento de las restricciones en materia de fuentes de ignición.</w:t>
            </w:r>
          </w:p>
          <w:p w14:paraId="5B7293B8"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Regulations with regards to ignition sources are observed.</w:t>
            </w:r>
          </w:p>
        </w:tc>
        <w:tc>
          <w:tcPr>
            <w:tcW w:w="873" w:type="dxa"/>
          </w:tcPr>
          <w:p w14:paraId="5599E3B7" w14:textId="77777777" w:rsidR="00211AE2" w:rsidRPr="00524EF1" w:rsidRDefault="00211AE2" w:rsidP="00BC6B7C">
            <w:pPr>
              <w:jc w:val="center"/>
              <w:rPr>
                <w:rFonts w:ascii="Calibri" w:hAnsi="Calibri" w:cs="Calibri"/>
                <w:bCs/>
                <w:lang w:val="en-US"/>
              </w:rPr>
            </w:pPr>
          </w:p>
        </w:tc>
        <w:tc>
          <w:tcPr>
            <w:tcW w:w="857" w:type="dxa"/>
          </w:tcPr>
          <w:p w14:paraId="0BC1D693" w14:textId="77777777" w:rsidR="00211AE2" w:rsidRPr="00524EF1" w:rsidRDefault="00211AE2" w:rsidP="00BC6B7C">
            <w:pPr>
              <w:jc w:val="center"/>
              <w:rPr>
                <w:rFonts w:ascii="Calibri" w:hAnsi="Calibri" w:cs="Calibri"/>
                <w:bCs/>
                <w:lang w:val="en-US"/>
              </w:rPr>
            </w:pPr>
          </w:p>
        </w:tc>
        <w:tc>
          <w:tcPr>
            <w:tcW w:w="2421" w:type="dxa"/>
          </w:tcPr>
          <w:p w14:paraId="265178E1" w14:textId="77777777" w:rsidR="00211AE2" w:rsidRPr="00524EF1" w:rsidRDefault="00211AE2" w:rsidP="00BC6B7C">
            <w:pPr>
              <w:jc w:val="center"/>
              <w:rPr>
                <w:rFonts w:ascii="Calibri" w:hAnsi="Calibri" w:cs="Calibri"/>
                <w:lang w:val="en-US"/>
              </w:rPr>
            </w:pPr>
          </w:p>
        </w:tc>
      </w:tr>
      <w:tr w:rsidR="00211AE2" w:rsidRPr="00524EF1" w14:paraId="0A8181CD" w14:textId="77777777" w:rsidTr="00BC6B7C">
        <w:trPr>
          <w:trHeight w:val="540"/>
        </w:trPr>
        <w:tc>
          <w:tcPr>
            <w:tcW w:w="655" w:type="dxa"/>
            <w:vAlign w:val="center"/>
          </w:tcPr>
          <w:p w14:paraId="26E99289" w14:textId="77777777" w:rsidR="00211AE2" w:rsidRPr="00524EF1" w:rsidRDefault="00211AE2" w:rsidP="00BC6B7C">
            <w:pPr>
              <w:jc w:val="center"/>
              <w:rPr>
                <w:rFonts w:ascii="Calibri" w:hAnsi="Calibri" w:cs="Calibri"/>
              </w:rPr>
            </w:pPr>
            <w:r w:rsidRPr="00524EF1">
              <w:rPr>
                <w:rFonts w:ascii="Calibri" w:hAnsi="Calibri" w:cs="Calibri"/>
              </w:rPr>
              <w:t>16</w:t>
            </w:r>
          </w:p>
        </w:tc>
        <w:tc>
          <w:tcPr>
            <w:tcW w:w="4496" w:type="dxa"/>
          </w:tcPr>
          <w:p w14:paraId="69A75FFE" w14:textId="77777777" w:rsidR="00211AE2" w:rsidRPr="00524EF1" w:rsidRDefault="00211AE2" w:rsidP="00BC6B7C">
            <w:pPr>
              <w:rPr>
                <w:rFonts w:ascii="Calibri" w:hAnsi="Calibri" w:cs="Calibri"/>
              </w:rPr>
            </w:pPr>
            <w:r w:rsidRPr="00524EF1">
              <w:rPr>
                <w:rFonts w:ascii="Calibri" w:hAnsi="Calibri" w:cs="Calibri"/>
              </w:rPr>
              <w:t>Todos los requisitos locales requeridos para el equipo contra incendios están preparados para su uso inmediato.</w:t>
            </w:r>
          </w:p>
          <w:p w14:paraId="551A8563"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All in local requirements required firefighting equipment is ready for immediate use.</w:t>
            </w:r>
          </w:p>
        </w:tc>
        <w:tc>
          <w:tcPr>
            <w:tcW w:w="873" w:type="dxa"/>
          </w:tcPr>
          <w:p w14:paraId="757C194D" w14:textId="77777777" w:rsidR="00211AE2" w:rsidRPr="00524EF1" w:rsidRDefault="00211AE2" w:rsidP="00BC6B7C">
            <w:pPr>
              <w:jc w:val="center"/>
              <w:rPr>
                <w:rFonts w:ascii="Calibri" w:hAnsi="Calibri" w:cs="Calibri"/>
                <w:bCs/>
                <w:lang w:val="en-US"/>
              </w:rPr>
            </w:pPr>
          </w:p>
        </w:tc>
        <w:tc>
          <w:tcPr>
            <w:tcW w:w="857" w:type="dxa"/>
          </w:tcPr>
          <w:p w14:paraId="34E3A638" w14:textId="77777777" w:rsidR="00211AE2" w:rsidRPr="00524EF1" w:rsidRDefault="00211AE2" w:rsidP="00BC6B7C">
            <w:pPr>
              <w:jc w:val="center"/>
              <w:rPr>
                <w:rFonts w:ascii="Calibri" w:hAnsi="Calibri" w:cs="Calibri"/>
                <w:bCs/>
                <w:lang w:val="en-US"/>
              </w:rPr>
            </w:pPr>
          </w:p>
        </w:tc>
        <w:tc>
          <w:tcPr>
            <w:tcW w:w="2421" w:type="dxa"/>
          </w:tcPr>
          <w:p w14:paraId="1C6C86F1" w14:textId="77777777" w:rsidR="00211AE2" w:rsidRPr="00524EF1" w:rsidRDefault="00211AE2" w:rsidP="00BC6B7C">
            <w:pPr>
              <w:rPr>
                <w:rFonts w:ascii="Calibri" w:hAnsi="Calibri" w:cs="Calibri"/>
                <w:lang w:val="en-US"/>
              </w:rPr>
            </w:pPr>
            <w:r w:rsidRPr="00524EF1">
              <w:rPr>
                <w:rFonts w:ascii="Calibri" w:hAnsi="Calibri" w:cs="Calibri"/>
                <w:lang w:val="en-US"/>
              </w:rPr>
              <w:t>Si aplica/</w:t>
            </w:r>
            <w:r w:rsidRPr="00524EF1">
              <w:rPr>
                <w:rFonts w:ascii="Calibri" w:hAnsi="Calibri" w:cs="Calibri"/>
                <w:i/>
                <w:iCs/>
                <w:lang w:val="en-US"/>
              </w:rPr>
              <w:t>If applicable</w:t>
            </w:r>
          </w:p>
        </w:tc>
      </w:tr>
      <w:tr w:rsidR="00211AE2" w:rsidRPr="00524EF1" w14:paraId="2886C023" w14:textId="77777777" w:rsidTr="00BC6B7C">
        <w:trPr>
          <w:trHeight w:val="540"/>
        </w:trPr>
        <w:tc>
          <w:tcPr>
            <w:tcW w:w="655" w:type="dxa"/>
            <w:vAlign w:val="center"/>
          </w:tcPr>
          <w:p w14:paraId="255D5C6F" w14:textId="77777777" w:rsidR="00211AE2" w:rsidRPr="00524EF1" w:rsidRDefault="00211AE2" w:rsidP="00BC6B7C">
            <w:pPr>
              <w:jc w:val="center"/>
              <w:rPr>
                <w:rFonts w:ascii="Calibri" w:hAnsi="Calibri" w:cs="Calibri"/>
              </w:rPr>
            </w:pPr>
            <w:r w:rsidRPr="00524EF1">
              <w:rPr>
                <w:rFonts w:ascii="Calibri" w:hAnsi="Calibri" w:cs="Calibri"/>
              </w:rPr>
              <w:t>17</w:t>
            </w:r>
          </w:p>
        </w:tc>
        <w:tc>
          <w:tcPr>
            <w:tcW w:w="4496" w:type="dxa"/>
          </w:tcPr>
          <w:p w14:paraId="09AFC254" w14:textId="77777777" w:rsidR="00211AE2" w:rsidRPr="00524EF1" w:rsidRDefault="00211AE2" w:rsidP="00BC6B7C">
            <w:pPr>
              <w:rPr>
                <w:rFonts w:ascii="Calibri" w:hAnsi="Calibri" w:cs="Calibri"/>
              </w:rPr>
            </w:pPr>
            <w:r w:rsidRPr="00524EF1">
              <w:rPr>
                <w:rFonts w:ascii="Calibri" w:hAnsi="Calibri" w:cs="Calibri"/>
              </w:rPr>
              <w:t>Las operaciones de suministro planificadas de otros combustibles durante el abastecimiento de GNL se realizan acordes a la documentación operativa del barco suministrado.</w:t>
            </w:r>
          </w:p>
          <w:p w14:paraId="36BEC63D"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Planned simultaneous bunker operations of other fuels during LNG bunkering are in accordance with ship’s approved operational documentation.</w:t>
            </w:r>
          </w:p>
        </w:tc>
        <w:tc>
          <w:tcPr>
            <w:tcW w:w="873" w:type="dxa"/>
          </w:tcPr>
          <w:p w14:paraId="4FC7F511" w14:textId="77777777" w:rsidR="00211AE2" w:rsidRPr="00524EF1" w:rsidRDefault="00211AE2" w:rsidP="00BC6B7C">
            <w:pPr>
              <w:jc w:val="center"/>
              <w:rPr>
                <w:rFonts w:ascii="Calibri" w:hAnsi="Calibri" w:cs="Calibri"/>
                <w:bCs/>
                <w:lang w:val="en-US"/>
              </w:rPr>
            </w:pPr>
          </w:p>
        </w:tc>
        <w:tc>
          <w:tcPr>
            <w:tcW w:w="857" w:type="dxa"/>
          </w:tcPr>
          <w:p w14:paraId="45115E06" w14:textId="77777777" w:rsidR="00211AE2" w:rsidRPr="00524EF1" w:rsidRDefault="00211AE2" w:rsidP="00BC6B7C">
            <w:pPr>
              <w:jc w:val="center"/>
              <w:rPr>
                <w:rFonts w:ascii="Calibri" w:hAnsi="Calibri" w:cs="Calibri"/>
                <w:bCs/>
                <w:lang w:val="en-US"/>
              </w:rPr>
            </w:pPr>
          </w:p>
        </w:tc>
        <w:tc>
          <w:tcPr>
            <w:tcW w:w="2421" w:type="dxa"/>
          </w:tcPr>
          <w:p w14:paraId="4650E5A5" w14:textId="77777777" w:rsidR="00211AE2" w:rsidRPr="00524EF1" w:rsidRDefault="00211AE2" w:rsidP="00BC6B7C">
            <w:pPr>
              <w:rPr>
                <w:rFonts w:ascii="Calibri" w:hAnsi="Calibri" w:cs="Calibri"/>
                <w:lang w:val="en-US"/>
              </w:rPr>
            </w:pPr>
            <w:r w:rsidRPr="00524EF1">
              <w:rPr>
                <w:rFonts w:ascii="Calibri" w:hAnsi="Calibri" w:cs="Calibri"/>
              </w:rPr>
              <w:t xml:space="preserve">Si aplica/ </w:t>
            </w:r>
            <w:r w:rsidRPr="00524EF1">
              <w:rPr>
                <w:rFonts w:ascii="Calibri" w:hAnsi="Calibri" w:cs="Calibri"/>
                <w:i/>
                <w:iCs/>
              </w:rPr>
              <w:t>If applicable:</w:t>
            </w:r>
          </w:p>
        </w:tc>
      </w:tr>
      <w:tr w:rsidR="00211AE2" w:rsidRPr="00524EF1" w14:paraId="01EC2895" w14:textId="77777777" w:rsidTr="00BC6B7C">
        <w:trPr>
          <w:trHeight w:val="540"/>
        </w:trPr>
        <w:tc>
          <w:tcPr>
            <w:tcW w:w="655" w:type="dxa"/>
            <w:vAlign w:val="center"/>
          </w:tcPr>
          <w:p w14:paraId="5485C658" w14:textId="77777777" w:rsidR="00211AE2" w:rsidRPr="00524EF1" w:rsidRDefault="00211AE2" w:rsidP="00BC6B7C">
            <w:pPr>
              <w:jc w:val="center"/>
              <w:rPr>
                <w:rFonts w:ascii="Calibri" w:hAnsi="Calibri" w:cs="Calibri"/>
              </w:rPr>
            </w:pPr>
            <w:r w:rsidRPr="00524EF1">
              <w:rPr>
                <w:rFonts w:ascii="Calibri" w:hAnsi="Calibri" w:cs="Calibri"/>
              </w:rPr>
              <w:t>18</w:t>
            </w:r>
          </w:p>
        </w:tc>
        <w:tc>
          <w:tcPr>
            <w:tcW w:w="4496" w:type="dxa"/>
          </w:tcPr>
          <w:p w14:paraId="2B1710B0" w14:textId="77777777" w:rsidR="00211AE2" w:rsidRPr="00524EF1" w:rsidRDefault="00211AE2" w:rsidP="00BC6B7C">
            <w:pPr>
              <w:rPr>
                <w:rFonts w:ascii="Calibri" w:hAnsi="Calibri" w:cs="Calibri"/>
              </w:rPr>
            </w:pPr>
            <w:r w:rsidRPr="00524EF1">
              <w:rPr>
                <w:rFonts w:ascii="Calibri" w:hAnsi="Calibri" w:cs="Calibri"/>
              </w:rPr>
              <w:t>Las operaciones de carga simultáneas planificadas durante el bunkering de GNL se realizan acordes a la documentación operativa del barco suministrado.</w:t>
            </w:r>
          </w:p>
          <w:p w14:paraId="2EE7E6F0"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Planned simultaneous cargo operations during LNG bunkering are in accordance with the ship’s approved operational documentation.</w:t>
            </w:r>
          </w:p>
        </w:tc>
        <w:tc>
          <w:tcPr>
            <w:tcW w:w="873" w:type="dxa"/>
          </w:tcPr>
          <w:p w14:paraId="1193451B" w14:textId="77777777" w:rsidR="00211AE2" w:rsidRPr="00524EF1" w:rsidRDefault="00211AE2" w:rsidP="00BC6B7C">
            <w:pPr>
              <w:jc w:val="center"/>
              <w:rPr>
                <w:rFonts w:ascii="Calibri" w:hAnsi="Calibri" w:cs="Calibri"/>
                <w:bCs/>
                <w:lang w:val="en-US"/>
              </w:rPr>
            </w:pPr>
          </w:p>
        </w:tc>
        <w:tc>
          <w:tcPr>
            <w:tcW w:w="857" w:type="dxa"/>
          </w:tcPr>
          <w:p w14:paraId="59CECDF6" w14:textId="77777777" w:rsidR="00211AE2" w:rsidRPr="00524EF1" w:rsidRDefault="00211AE2" w:rsidP="00BC6B7C">
            <w:pPr>
              <w:jc w:val="center"/>
              <w:rPr>
                <w:rFonts w:ascii="Calibri" w:hAnsi="Calibri" w:cs="Calibri"/>
                <w:bCs/>
                <w:lang w:val="en-US"/>
              </w:rPr>
            </w:pPr>
          </w:p>
        </w:tc>
        <w:tc>
          <w:tcPr>
            <w:tcW w:w="2421" w:type="dxa"/>
          </w:tcPr>
          <w:p w14:paraId="6DC03633" w14:textId="77777777" w:rsidR="00211AE2" w:rsidRPr="00524EF1" w:rsidRDefault="00211AE2" w:rsidP="00BC6B7C">
            <w:pPr>
              <w:rPr>
                <w:rFonts w:ascii="Calibri" w:hAnsi="Calibri" w:cs="Calibri"/>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524EF1" w14:paraId="501C23EA" w14:textId="77777777" w:rsidTr="00BC6B7C">
        <w:trPr>
          <w:trHeight w:val="540"/>
        </w:trPr>
        <w:tc>
          <w:tcPr>
            <w:tcW w:w="655" w:type="dxa"/>
            <w:vAlign w:val="center"/>
          </w:tcPr>
          <w:p w14:paraId="5BDD9EE3" w14:textId="77777777" w:rsidR="00211AE2" w:rsidRPr="00524EF1" w:rsidRDefault="00211AE2" w:rsidP="00BC6B7C">
            <w:pPr>
              <w:jc w:val="center"/>
              <w:rPr>
                <w:rFonts w:ascii="Calibri" w:hAnsi="Calibri" w:cs="Calibri"/>
              </w:rPr>
            </w:pPr>
            <w:r w:rsidRPr="00524EF1">
              <w:rPr>
                <w:rFonts w:ascii="Calibri" w:hAnsi="Calibri" w:cs="Calibri"/>
              </w:rPr>
              <w:t>19</w:t>
            </w:r>
          </w:p>
        </w:tc>
        <w:tc>
          <w:tcPr>
            <w:tcW w:w="4496" w:type="dxa"/>
          </w:tcPr>
          <w:p w14:paraId="60256499" w14:textId="77777777" w:rsidR="00211AE2" w:rsidRPr="00524EF1" w:rsidRDefault="00211AE2" w:rsidP="00BC6B7C">
            <w:pPr>
              <w:rPr>
                <w:rFonts w:ascii="Calibri" w:hAnsi="Calibri" w:cs="Calibri"/>
              </w:rPr>
            </w:pPr>
            <w:r w:rsidRPr="00524EF1">
              <w:rPr>
                <w:rFonts w:ascii="Calibri" w:hAnsi="Calibri" w:cs="Calibri"/>
              </w:rPr>
              <w:t>Las autoridades competentes han otorgado permiso para las operaciones simultáneas planificadas de bunkering u otras operaciones simultáneas.</w:t>
            </w:r>
          </w:p>
          <w:p w14:paraId="15913546" w14:textId="77777777" w:rsidR="00211AE2" w:rsidRPr="00524EF1" w:rsidRDefault="00211AE2" w:rsidP="00BC6B7C">
            <w:pPr>
              <w:rPr>
                <w:rFonts w:ascii="Calibri" w:hAnsi="Calibri" w:cs="Calibri"/>
                <w:i/>
                <w:iCs/>
                <w:lang w:val="en-US"/>
              </w:rPr>
            </w:pPr>
            <w:r w:rsidRPr="00524EF1">
              <w:rPr>
                <w:rFonts w:ascii="Calibri" w:hAnsi="Calibri" w:cs="Calibri"/>
                <w:i/>
                <w:iCs/>
                <w:lang w:val="en-US"/>
              </w:rPr>
              <w:lastRenderedPageBreak/>
              <w:t>Competent authorities have granted permission for simultaneous bunker and/or other operations whilst LNG bunkering.</w:t>
            </w:r>
          </w:p>
        </w:tc>
        <w:tc>
          <w:tcPr>
            <w:tcW w:w="873" w:type="dxa"/>
          </w:tcPr>
          <w:p w14:paraId="7EB58349" w14:textId="77777777" w:rsidR="00211AE2" w:rsidRPr="00524EF1" w:rsidRDefault="00211AE2" w:rsidP="00BC6B7C">
            <w:pPr>
              <w:jc w:val="center"/>
              <w:rPr>
                <w:rFonts w:ascii="Calibri" w:hAnsi="Calibri" w:cs="Calibri"/>
                <w:bCs/>
                <w:lang w:val="en-US"/>
              </w:rPr>
            </w:pPr>
          </w:p>
        </w:tc>
        <w:tc>
          <w:tcPr>
            <w:tcW w:w="857" w:type="dxa"/>
          </w:tcPr>
          <w:p w14:paraId="147A84F4" w14:textId="77777777" w:rsidR="00211AE2" w:rsidRPr="00524EF1" w:rsidRDefault="00211AE2" w:rsidP="00BC6B7C">
            <w:pPr>
              <w:jc w:val="center"/>
              <w:rPr>
                <w:rFonts w:ascii="Calibri" w:hAnsi="Calibri" w:cs="Calibri"/>
                <w:bCs/>
                <w:lang w:val="en-US"/>
              </w:rPr>
            </w:pPr>
          </w:p>
        </w:tc>
        <w:tc>
          <w:tcPr>
            <w:tcW w:w="2421" w:type="dxa"/>
          </w:tcPr>
          <w:p w14:paraId="3B4B3AD0" w14:textId="77777777" w:rsidR="00211AE2" w:rsidRPr="00524EF1" w:rsidRDefault="00211AE2" w:rsidP="00BC6B7C">
            <w:pPr>
              <w:rPr>
                <w:rFonts w:ascii="Calibri" w:hAnsi="Calibri" w:cs="Calibri"/>
                <w:lang w:val="en-US"/>
              </w:rPr>
            </w:pPr>
            <w:r w:rsidRPr="00524EF1">
              <w:rPr>
                <w:rFonts w:ascii="Calibri" w:hAnsi="Calibri" w:cs="Calibri"/>
              </w:rPr>
              <w:t xml:space="preserve">Si aplica/ </w:t>
            </w:r>
            <w:r w:rsidRPr="00524EF1">
              <w:rPr>
                <w:rFonts w:ascii="Calibri" w:hAnsi="Calibri" w:cs="Calibri"/>
                <w:i/>
                <w:iCs/>
              </w:rPr>
              <w:t>If ap</w:t>
            </w:r>
            <w:r w:rsidRPr="00524EF1">
              <w:rPr>
                <w:rFonts w:ascii="Calibri" w:hAnsi="Calibri" w:cs="Calibri"/>
              </w:rPr>
              <w:t>plicable:</w:t>
            </w:r>
          </w:p>
        </w:tc>
      </w:tr>
      <w:tr w:rsidR="00211AE2" w:rsidRPr="00524EF1" w14:paraId="41338FF6" w14:textId="77777777" w:rsidTr="00BC6B7C">
        <w:trPr>
          <w:trHeight w:val="540"/>
        </w:trPr>
        <w:tc>
          <w:tcPr>
            <w:tcW w:w="655" w:type="dxa"/>
            <w:vAlign w:val="center"/>
          </w:tcPr>
          <w:p w14:paraId="629AA67E" w14:textId="77777777" w:rsidR="00211AE2" w:rsidRPr="00524EF1" w:rsidRDefault="00211AE2" w:rsidP="00BC6B7C">
            <w:pPr>
              <w:jc w:val="center"/>
              <w:rPr>
                <w:rFonts w:ascii="Calibri" w:hAnsi="Calibri" w:cs="Calibri"/>
              </w:rPr>
            </w:pPr>
            <w:r w:rsidRPr="00524EF1">
              <w:rPr>
                <w:rFonts w:ascii="Calibri" w:hAnsi="Calibri" w:cs="Calibri"/>
              </w:rPr>
              <w:t>20</w:t>
            </w:r>
          </w:p>
        </w:tc>
        <w:tc>
          <w:tcPr>
            <w:tcW w:w="4496" w:type="dxa"/>
          </w:tcPr>
          <w:p w14:paraId="61F20B7C" w14:textId="77777777" w:rsidR="00211AE2" w:rsidRPr="00524EF1" w:rsidRDefault="00211AE2" w:rsidP="00BC6B7C">
            <w:pPr>
              <w:rPr>
                <w:rFonts w:ascii="Calibri" w:hAnsi="Calibri" w:cs="Calibri"/>
              </w:rPr>
            </w:pPr>
            <w:r w:rsidRPr="00524EF1">
              <w:rPr>
                <w:rFonts w:ascii="Calibri" w:hAnsi="Calibri" w:cs="Calibri"/>
              </w:rPr>
              <w:t>Los procedimientos de seguridad y las medidas de mitigación para actividades simultáneas, como se menciona en la documentación operacional aprobada por el barco, se acuerdan y son observadas por todas las partes involucradas.</w:t>
            </w:r>
          </w:p>
          <w:p w14:paraId="1DAF7A7A"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Safety procedures and mitigation measures for simultaneous activities, as mentioned in the ship’s approved operational documentation, are agreed upon and are being observed by all parties involved</w:t>
            </w:r>
          </w:p>
        </w:tc>
        <w:tc>
          <w:tcPr>
            <w:tcW w:w="873" w:type="dxa"/>
          </w:tcPr>
          <w:p w14:paraId="6FFA5968" w14:textId="77777777" w:rsidR="00211AE2" w:rsidRPr="00524EF1" w:rsidRDefault="00211AE2" w:rsidP="00BC6B7C">
            <w:pPr>
              <w:jc w:val="center"/>
              <w:rPr>
                <w:rFonts w:ascii="Calibri" w:hAnsi="Calibri" w:cs="Calibri"/>
                <w:bCs/>
                <w:lang w:val="en-US"/>
              </w:rPr>
            </w:pPr>
          </w:p>
        </w:tc>
        <w:tc>
          <w:tcPr>
            <w:tcW w:w="857" w:type="dxa"/>
          </w:tcPr>
          <w:p w14:paraId="7244E8BC" w14:textId="77777777" w:rsidR="00211AE2" w:rsidRPr="00524EF1" w:rsidRDefault="00211AE2" w:rsidP="00BC6B7C">
            <w:pPr>
              <w:jc w:val="center"/>
              <w:rPr>
                <w:rFonts w:ascii="Calibri" w:hAnsi="Calibri" w:cs="Calibri"/>
                <w:bCs/>
                <w:lang w:val="en-US"/>
              </w:rPr>
            </w:pPr>
          </w:p>
        </w:tc>
        <w:tc>
          <w:tcPr>
            <w:tcW w:w="2421" w:type="dxa"/>
          </w:tcPr>
          <w:p w14:paraId="58A15B2C" w14:textId="77777777" w:rsidR="00211AE2" w:rsidRPr="00524EF1" w:rsidRDefault="00211AE2" w:rsidP="00BC6B7C">
            <w:pPr>
              <w:rPr>
                <w:rFonts w:ascii="Calibri" w:hAnsi="Calibri" w:cs="Calibri"/>
                <w:lang w:val="en-US"/>
              </w:rPr>
            </w:pPr>
            <w:r w:rsidRPr="00524EF1">
              <w:rPr>
                <w:rFonts w:ascii="Calibri" w:hAnsi="Calibri" w:cs="Calibri"/>
                <w:lang w:val="en-US"/>
              </w:rPr>
              <w:t xml:space="preserve">Si aplica/ </w:t>
            </w:r>
            <w:r w:rsidRPr="00524EF1">
              <w:rPr>
                <w:rFonts w:ascii="Calibri" w:hAnsi="Calibri" w:cs="Calibri"/>
                <w:i/>
                <w:iCs/>
                <w:lang w:val="en-US"/>
              </w:rPr>
              <w:t>If applicable</w:t>
            </w:r>
            <w:r w:rsidRPr="00524EF1">
              <w:rPr>
                <w:rFonts w:ascii="Calibri" w:hAnsi="Calibri" w:cs="Calibri"/>
                <w:lang w:val="en-US"/>
              </w:rPr>
              <w:t>:</w:t>
            </w:r>
          </w:p>
        </w:tc>
      </w:tr>
      <w:tr w:rsidR="00211AE2" w:rsidRPr="00450A01" w14:paraId="0D6A258E" w14:textId="77777777" w:rsidTr="00BC6B7C">
        <w:trPr>
          <w:trHeight w:val="540"/>
        </w:trPr>
        <w:tc>
          <w:tcPr>
            <w:tcW w:w="655" w:type="dxa"/>
            <w:vAlign w:val="center"/>
          </w:tcPr>
          <w:p w14:paraId="72269633" w14:textId="77777777" w:rsidR="00211AE2" w:rsidRPr="00524EF1" w:rsidRDefault="00211AE2" w:rsidP="00BC6B7C">
            <w:pPr>
              <w:jc w:val="center"/>
              <w:rPr>
                <w:rFonts w:ascii="Calibri" w:hAnsi="Calibri" w:cs="Calibri"/>
              </w:rPr>
            </w:pPr>
            <w:r w:rsidRPr="00524EF1">
              <w:rPr>
                <w:rFonts w:ascii="Calibri" w:hAnsi="Calibri" w:cs="Calibri"/>
              </w:rPr>
              <w:t>21</w:t>
            </w:r>
          </w:p>
        </w:tc>
        <w:tc>
          <w:tcPr>
            <w:tcW w:w="4496" w:type="dxa"/>
          </w:tcPr>
          <w:p w14:paraId="4D5D0775" w14:textId="77777777" w:rsidR="00211AE2" w:rsidRPr="00524EF1" w:rsidRDefault="00211AE2" w:rsidP="00BC6B7C">
            <w:pPr>
              <w:rPr>
                <w:rFonts w:ascii="Calibri" w:hAnsi="Calibri" w:cs="Calibri"/>
              </w:rPr>
            </w:pPr>
            <w:r w:rsidRPr="00524EF1">
              <w:rPr>
                <w:rFonts w:ascii="Calibri" w:hAnsi="Calibri" w:cs="Calibri"/>
              </w:rPr>
              <w:t xml:space="preserve">El clima actual y las condiciones de las olas están dentro de los límites acordados </w:t>
            </w:r>
          </w:p>
          <w:p w14:paraId="04F3E0C2"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Present weather and wave conditions are within the agreed limits.</w:t>
            </w:r>
          </w:p>
        </w:tc>
        <w:tc>
          <w:tcPr>
            <w:tcW w:w="873" w:type="dxa"/>
          </w:tcPr>
          <w:p w14:paraId="1B02305F" w14:textId="77777777" w:rsidR="00211AE2" w:rsidRPr="00524EF1" w:rsidRDefault="00211AE2" w:rsidP="00BC6B7C">
            <w:pPr>
              <w:jc w:val="center"/>
              <w:rPr>
                <w:rFonts w:ascii="Calibri" w:hAnsi="Calibri" w:cs="Calibri"/>
                <w:bCs/>
                <w:lang w:val="en-US"/>
              </w:rPr>
            </w:pPr>
          </w:p>
        </w:tc>
        <w:tc>
          <w:tcPr>
            <w:tcW w:w="857" w:type="dxa"/>
          </w:tcPr>
          <w:p w14:paraId="3E066156" w14:textId="77777777" w:rsidR="00211AE2" w:rsidRPr="00524EF1" w:rsidRDefault="00211AE2" w:rsidP="00BC6B7C">
            <w:pPr>
              <w:jc w:val="center"/>
              <w:rPr>
                <w:rFonts w:ascii="Calibri" w:hAnsi="Calibri" w:cs="Calibri"/>
                <w:bCs/>
                <w:lang w:val="en-US"/>
              </w:rPr>
            </w:pPr>
          </w:p>
        </w:tc>
        <w:tc>
          <w:tcPr>
            <w:tcW w:w="2421" w:type="dxa"/>
          </w:tcPr>
          <w:p w14:paraId="15D0FC42" w14:textId="77777777" w:rsidR="00211AE2" w:rsidRPr="00524EF1" w:rsidRDefault="00211AE2" w:rsidP="00BC6B7C">
            <w:pPr>
              <w:jc w:val="center"/>
              <w:rPr>
                <w:rFonts w:ascii="Calibri" w:hAnsi="Calibri" w:cs="Calibri"/>
                <w:lang w:val="en-US"/>
              </w:rPr>
            </w:pPr>
          </w:p>
        </w:tc>
      </w:tr>
      <w:tr w:rsidR="00211AE2" w:rsidRPr="00524EF1" w14:paraId="578549FC" w14:textId="77777777" w:rsidTr="00BC6B7C">
        <w:trPr>
          <w:trHeight w:val="540"/>
        </w:trPr>
        <w:tc>
          <w:tcPr>
            <w:tcW w:w="655" w:type="dxa"/>
            <w:vAlign w:val="center"/>
          </w:tcPr>
          <w:p w14:paraId="3C2F6731" w14:textId="77777777" w:rsidR="00211AE2" w:rsidRPr="00524EF1" w:rsidRDefault="00211AE2" w:rsidP="00BC6B7C">
            <w:pPr>
              <w:jc w:val="center"/>
              <w:rPr>
                <w:rFonts w:ascii="Calibri" w:hAnsi="Calibri" w:cs="Calibri"/>
              </w:rPr>
            </w:pPr>
            <w:r w:rsidRPr="00524EF1">
              <w:rPr>
                <w:rFonts w:ascii="Calibri" w:hAnsi="Calibri" w:cs="Calibri"/>
              </w:rPr>
              <w:t>22</w:t>
            </w:r>
          </w:p>
        </w:tc>
        <w:tc>
          <w:tcPr>
            <w:tcW w:w="4496" w:type="dxa"/>
          </w:tcPr>
          <w:p w14:paraId="01969BE5" w14:textId="77777777" w:rsidR="00211AE2" w:rsidRPr="00524EF1" w:rsidRDefault="00211AE2" w:rsidP="00BC6B7C">
            <w:pPr>
              <w:rPr>
                <w:rFonts w:ascii="Calibri" w:hAnsi="Calibri" w:cs="Calibri"/>
              </w:rPr>
            </w:pPr>
            <w:r w:rsidRPr="00524EF1">
              <w:rPr>
                <w:rFonts w:ascii="Calibri" w:hAnsi="Calibri" w:cs="Calibri"/>
              </w:rPr>
              <w:t>El barco está amarrado de manera segura. Se observan las normativas en materia de amarres.</w:t>
            </w:r>
          </w:p>
          <w:p w14:paraId="09E7528C" w14:textId="77777777" w:rsidR="00211AE2" w:rsidRPr="00524EF1" w:rsidRDefault="00211AE2" w:rsidP="00BC6B7C">
            <w:pPr>
              <w:rPr>
                <w:rFonts w:ascii="Calibri" w:hAnsi="Calibri" w:cs="Calibri"/>
              </w:rPr>
            </w:pPr>
            <w:r w:rsidRPr="00524EF1">
              <w:rPr>
                <w:rFonts w:ascii="Calibri" w:hAnsi="Calibri" w:cs="Calibri"/>
                <w:lang w:val="en-US"/>
              </w:rPr>
              <w:t xml:space="preserve">The ship is securely moored. Regulations with regards to mooring arrangements are observed. </w:t>
            </w:r>
            <w:r w:rsidRPr="00524EF1">
              <w:rPr>
                <w:rFonts w:ascii="Calibri" w:hAnsi="Calibri" w:cs="Calibri"/>
                <w:i/>
                <w:iCs/>
                <w:lang w:val="en-US"/>
              </w:rPr>
              <w:t>Sufficient fendering is in place.</w:t>
            </w:r>
          </w:p>
        </w:tc>
        <w:tc>
          <w:tcPr>
            <w:tcW w:w="873" w:type="dxa"/>
          </w:tcPr>
          <w:p w14:paraId="0A567ABD" w14:textId="77777777" w:rsidR="00211AE2" w:rsidRPr="00524EF1" w:rsidRDefault="00211AE2" w:rsidP="00BC6B7C">
            <w:pPr>
              <w:jc w:val="center"/>
              <w:rPr>
                <w:rFonts w:ascii="Calibri" w:hAnsi="Calibri" w:cs="Calibri"/>
                <w:bCs/>
              </w:rPr>
            </w:pPr>
          </w:p>
        </w:tc>
        <w:tc>
          <w:tcPr>
            <w:tcW w:w="857" w:type="dxa"/>
          </w:tcPr>
          <w:p w14:paraId="32AF5447" w14:textId="77777777" w:rsidR="00211AE2" w:rsidRPr="00524EF1" w:rsidRDefault="00211AE2" w:rsidP="00BC6B7C">
            <w:pPr>
              <w:jc w:val="center"/>
              <w:rPr>
                <w:rFonts w:ascii="Calibri" w:hAnsi="Calibri" w:cs="Calibri"/>
                <w:bCs/>
              </w:rPr>
            </w:pPr>
          </w:p>
        </w:tc>
        <w:tc>
          <w:tcPr>
            <w:tcW w:w="2421" w:type="dxa"/>
          </w:tcPr>
          <w:p w14:paraId="0B40FF0D" w14:textId="77777777" w:rsidR="00211AE2" w:rsidRPr="00524EF1" w:rsidRDefault="00211AE2" w:rsidP="00BC6B7C">
            <w:pPr>
              <w:jc w:val="center"/>
              <w:rPr>
                <w:rFonts w:ascii="Calibri" w:hAnsi="Calibri" w:cs="Calibri"/>
              </w:rPr>
            </w:pPr>
          </w:p>
        </w:tc>
      </w:tr>
      <w:tr w:rsidR="00211AE2" w:rsidRPr="00450A01" w14:paraId="664DA4BC" w14:textId="77777777" w:rsidTr="00BC6B7C">
        <w:trPr>
          <w:trHeight w:val="540"/>
        </w:trPr>
        <w:tc>
          <w:tcPr>
            <w:tcW w:w="655" w:type="dxa"/>
            <w:vAlign w:val="center"/>
          </w:tcPr>
          <w:p w14:paraId="2F7429D8" w14:textId="77777777" w:rsidR="00211AE2" w:rsidRPr="00524EF1" w:rsidRDefault="00211AE2" w:rsidP="00BC6B7C">
            <w:pPr>
              <w:jc w:val="center"/>
              <w:rPr>
                <w:rFonts w:ascii="Calibri" w:hAnsi="Calibri" w:cs="Calibri"/>
              </w:rPr>
            </w:pPr>
            <w:r w:rsidRPr="00524EF1">
              <w:rPr>
                <w:rFonts w:ascii="Calibri" w:hAnsi="Calibri" w:cs="Calibri"/>
              </w:rPr>
              <w:t>23</w:t>
            </w:r>
          </w:p>
        </w:tc>
        <w:tc>
          <w:tcPr>
            <w:tcW w:w="4496" w:type="dxa"/>
          </w:tcPr>
          <w:p w14:paraId="167604CF" w14:textId="77777777" w:rsidR="00211AE2" w:rsidRPr="00524EF1" w:rsidRDefault="00211AE2" w:rsidP="00BC6B7C">
            <w:pPr>
              <w:rPr>
                <w:rFonts w:ascii="Calibri" w:hAnsi="Calibri" w:cs="Calibri"/>
              </w:rPr>
            </w:pPr>
            <w:r w:rsidRPr="00524EF1">
              <w:rPr>
                <w:rFonts w:ascii="Calibri" w:hAnsi="Calibri" w:cs="Calibri"/>
              </w:rPr>
              <w:t>Hay un medio seguro de acceso entre el barco y tierra.</w:t>
            </w:r>
          </w:p>
          <w:p w14:paraId="48A33BA9"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There is a safe means of access between the ship and shore.</w:t>
            </w:r>
          </w:p>
        </w:tc>
        <w:tc>
          <w:tcPr>
            <w:tcW w:w="873" w:type="dxa"/>
          </w:tcPr>
          <w:p w14:paraId="3934A0A8" w14:textId="77777777" w:rsidR="00211AE2" w:rsidRPr="00524EF1" w:rsidRDefault="00211AE2" w:rsidP="00BC6B7C">
            <w:pPr>
              <w:jc w:val="center"/>
              <w:rPr>
                <w:rFonts w:ascii="Calibri" w:hAnsi="Calibri" w:cs="Calibri"/>
                <w:bCs/>
                <w:lang w:val="en-US"/>
              </w:rPr>
            </w:pPr>
          </w:p>
        </w:tc>
        <w:tc>
          <w:tcPr>
            <w:tcW w:w="857" w:type="dxa"/>
          </w:tcPr>
          <w:p w14:paraId="330413D7" w14:textId="77777777" w:rsidR="00211AE2" w:rsidRPr="00524EF1" w:rsidRDefault="00211AE2" w:rsidP="00BC6B7C">
            <w:pPr>
              <w:jc w:val="center"/>
              <w:rPr>
                <w:rFonts w:ascii="Calibri" w:hAnsi="Calibri" w:cs="Calibri"/>
                <w:bCs/>
                <w:lang w:val="en-US"/>
              </w:rPr>
            </w:pPr>
          </w:p>
        </w:tc>
        <w:tc>
          <w:tcPr>
            <w:tcW w:w="2421" w:type="dxa"/>
          </w:tcPr>
          <w:p w14:paraId="3E79EB88" w14:textId="77777777" w:rsidR="00211AE2" w:rsidRPr="00524EF1" w:rsidRDefault="00211AE2" w:rsidP="00BC6B7C">
            <w:pPr>
              <w:jc w:val="center"/>
              <w:rPr>
                <w:rFonts w:ascii="Calibri" w:hAnsi="Calibri" w:cs="Calibri"/>
                <w:lang w:val="en-US"/>
              </w:rPr>
            </w:pPr>
          </w:p>
        </w:tc>
      </w:tr>
      <w:tr w:rsidR="00211AE2" w:rsidRPr="00450A01" w14:paraId="52B5799C" w14:textId="77777777" w:rsidTr="00BC6B7C">
        <w:trPr>
          <w:trHeight w:val="540"/>
        </w:trPr>
        <w:tc>
          <w:tcPr>
            <w:tcW w:w="655" w:type="dxa"/>
            <w:vAlign w:val="center"/>
          </w:tcPr>
          <w:p w14:paraId="4BB5A274" w14:textId="77777777" w:rsidR="00211AE2" w:rsidRPr="00524EF1" w:rsidRDefault="00211AE2" w:rsidP="00BC6B7C">
            <w:pPr>
              <w:jc w:val="center"/>
              <w:rPr>
                <w:rFonts w:ascii="Calibri" w:hAnsi="Calibri" w:cs="Calibri"/>
              </w:rPr>
            </w:pPr>
            <w:r w:rsidRPr="00524EF1">
              <w:rPr>
                <w:rFonts w:ascii="Calibri" w:hAnsi="Calibri" w:cs="Calibri"/>
              </w:rPr>
              <w:t>24</w:t>
            </w:r>
          </w:p>
        </w:tc>
        <w:tc>
          <w:tcPr>
            <w:tcW w:w="4496" w:type="dxa"/>
          </w:tcPr>
          <w:p w14:paraId="12261409" w14:textId="77777777" w:rsidR="00211AE2" w:rsidRPr="00524EF1" w:rsidRDefault="00211AE2" w:rsidP="00BC6B7C">
            <w:pPr>
              <w:rPr>
                <w:rFonts w:ascii="Calibri" w:hAnsi="Calibri" w:cs="Calibri"/>
              </w:rPr>
            </w:pPr>
            <w:r w:rsidRPr="00524EF1">
              <w:rPr>
                <w:rFonts w:ascii="Calibri" w:hAnsi="Calibri" w:cs="Calibri"/>
              </w:rPr>
              <w:t>Todo el equipo de extinción de incendios obligatorio está listo para su uso inmediato.</w:t>
            </w:r>
          </w:p>
          <w:p w14:paraId="59DB5337"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All mandatory firefighting equipment is ready for immediate use</w:t>
            </w:r>
          </w:p>
          <w:p w14:paraId="4E145CCA" w14:textId="77777777" w:rsidR="00211AE2" w:rsidRPr="00524EF1" w:rsidRDefault="00211AE2" w:rsidP="00BC6B7C">
            <w:pPr>
              <w:rPr>
                <w:rFonts w:ascii="Calibri" w:hAnsi="Calibri" w:cs="Calibri"/>
                <w:lang w:val="en-US"/>
              </w:rPr>
            </w:pPr>
          </w:p>
        </w:tc>
        <w:tc>
          <w:tcPr>
            <w:tcW w:w="873" w:type="dxa"/>
          </w:tcPr>
          <w:p w14:paraId="7E389C3A" w14:textId="77777777" w:rsidR="00211AE2" w:rsidRPr="00524EF1" w:rsidRDefault="00211AE2" w:rsidP="00BC6B7C">
            <w:pPr>
              <w:jc w:val="center"/>
              <w:rPr>
                <w:rFonts w:ascii="Calibri" w:hAnsi="Calibri" w:cs="Calibri"/>
                <w:bCs/>
                <w:lang w:val="en-US"/>
              </w:rPr>
            </w:pPr>
          </w:p>
        </w:tc>
        <w:tc>
          <w:tcPr>
            <w:tcW w:w="857" w:type="dxa"/>
          </w:tcPr>
          <w:p w14:paraId="5CCE5E05" w14:textId="77777777" w:rsidR="00211AE2" w:rsidRPr="00524EF1" w:rsidRDefault="00211AE2" w:rsidP="00BC6B7C">
            <w:pPr>
              <w:jc w:val="center"/>
              <w:rPr>
                <w:rFonts w:ascii="Calibri" w:hAnsi="Calibri" w:cs="Calibri"/>
                <w:bCs/>
                <w:lang w:val="en-US"/>
              </w:rPr>
            </w:pPr>
          </w:p>
        </w:tc>
        <w:tc>
          <w:tcPr>
            <w:tcW w:w="2421" w:type="dxa"/>
          </w:tcPr>
          <w:p w14:paraId="73F9D6E1" w14:textId="77777777" w:rsidR="00211AE2" w:rsidRPr="00524EF1" w:rsidRDefault="00211AE2" w:rsidP="00BC6B7C">
            <w:pPr>
              <w:jc w:val="center"/>
              <w:rPr>
                <w:rFonts w:ascii="Calibri" w:hAnsi="Calibri" w:cs="Calibri"/>
                <w:lang w:val="en-US"/>
              </w:rPr>
            </w:pPr>
          </w:p>
        </w:tc>
      </w:tr>
      <w:tr w:rsidR="00211AE2" w:rsidRPr="00450A01" w14:paraId="11B85269" w14:textId="77777777" w:rsidTr="00BC6B7C">
        <w:trPr>
          <w:trHeight w:val="540"/>
        </w:trPr>
        <w:tc>
          <w:tcPr>
            <w:tcW w:w="655" w:type="dxa"/>
            <w:vAlign w:val="center"/>
          </w:tcPr>
          <w:p w14:paraId="170749E3" w14:textId="77777777" w:rsidR="00211AE2" w:rsidRPr="00524EF1" w:rsidRDefault="00211AE2" w:rsidP="00BC6B7C">
            <w:pPr>
              <w:jc w:val="center"/>
              <w:rPr>
                <w:rFonts w:ascii="Calibri" w:hAnsi="Calibri" w:cs="Calibri"/>
              </w:rPr>
            </w:pPr>
            <w:r w:rsidRPr="00524EF1">
              <w:rPr>
                <w:rFonts w:ascii="Calibri" w:hAnsi="Calibri" w:cs="Calibri"/>
              </w:rPr>
              <w:t>25</w:t>
            </w:r>
          </w:p>
        </w:tc>
        <w:tc>
          <w:tcPr>
            <w:tcW w:w="4496" w:type="dxa"/>
          </w:tcPr>
          <w:p w14:paraId="0DAA58BE" w14:textId="77777777" w:rsidR="00211AE2" w:rsidRPr="00524EF1" w:rsidRDefault="00211AE2" w:rsidP="00BC6B7C">
            <w:pPr>
              <w:rPr>
                <w:rFonts w:ascii="Calibri" w:hAnsi="Calibri" w:cs="Calibri"/>
              </w:rPr>
            </w:pPr>
            <w:r w:rsidRPr="00524EF1">
              <w:rPr>
                <w:rFonts w:ascii="Calibri" w:hAnsi="Calibri" w:cs="Calibri"/>
              </w:rPr>
              <w:t xml:space="preserve">El barco puede moverse por sus propios medios en una dirección segura y sin obstrucciones. </w:t>
            </w:r>
          </w:p>
          <w:p w14:paraId="5B1B2B3E" w14:textId="77777777" w:rsidR="00211AE2" w:rsidRPr="00524EF1" w:rsidRDefault="00211AE2" w:rsidP="00BC6B7C">
            <w:pPr>
              <w:rPr>
                <w:rFonts w:ascii="Calibri" w:hAnsi="Calibri" w:cs="Calibri"/>
                <w:lang w:val="en-US"/>
              </w:rPr>
            </w:pPr>
            <w:r w:rsidRPr="00524EF1">
              <w:rPr>
                <w:rFonts w:ascii="Calibri" w:hAnsi="Calibri" w:cs="Calibri"/>
                <w:lang w:val="en-US"/>
              </w:rPr>
              <w:t>The ship is able to move under their own power in a safe and non-obstructed direction</w:t>
            </w:r>
          </w:p>
        </w:tc>
        <w:tc>
          <w:tcPr>
            <w:tcW w:w="873" w:type="dxa"/>
          </w:tcPr>
          <w:p w14:paraId="3C56C888" w14:textId="77777777" w:rsidR="00211AE2" w:rsidRPr="00524EF1" w:rsidRDefault="00211AE2" w:rsidP="00BC6B7C">
            <w:pPr>
              <w:jc w:val="center"/>
              <w:rPr>
                <w:rFonts w:ascii="Calibri" w:hAnsi="Calibri" w:cs="Calibri"/>
                <w:bCs/>
                <w:lang w:val="en-US"/>
              </w:rPr>
            </w:pPr>
          </w:p>
        </w:tc>
        <w:tc>
          <w:tcPr>
            <w:tcW w:w="857" w:type="dxa"/>
          </w:tcPr>
          <w:p w14:paraId="6857EF88" w14:textId="77777777" w:rsidR="00211AE2" w:rsidRPr="00524EF1" w:rsidRDefault="00211AE2" w:rsidP="00BC6B7C">
            <w:pPr>
              <w:jc w:val="center"/>
              <w:rPr>
                <w:rFonts w:ascii="Calibri" w:hAnsi="Calibri" w:cs="Calibri"/>
                <w:bCs/>
                <w:lang w:val="en-US"/>
              </w:rPr>
            </w:pPr>
          </w:p>
        </w:tc>
        <w:tc>
          <w:tcPr>
            <w:tcW w:w="2421" w:type="dxa"/>
          </w:tcPr>
          <w:p w14:paraId="108D245A" w14:textId="77777777" w:rsidR="00211AE2" w:rsidRPr="00524EF1" w:rsidRDefault="00211AE2" w:rsidP="00BC6B7C">
            <w:pPr>
              <w:jc w:val="center"/>
              <w:rPr>
                <w:rFonts w:ascii="Calibri" w:hAnsi="Calibri" w:cs="Calibri"/>
                <w:lang w:val="en-US"/>
              </w:rPr>
            </w:pPr>
          </w:p>
        </w:tc>
      </w:tr>
      <w:tr w:rsidR="00211AE2" w:rsidRPr="00450A01" w14:paraId="02B9B069" w14:textId="77777777" w:rsidTr="00BC6B7C">
        <w:trPr>
          <w:trHeight w:val="540"/>
        </w:trPr>
        <w:tc>
          <w:tcPr>
            <w:tcW w:w="655" w:type="dxa"/>
            <w:vAlign w:val="center"/>
          </w:tcPr>
          <w:p w14:paraId="673E4515" w14:textId="77777777" w:rsidR="00211AE2" w:rsidRPr="00524EF1" w:rsidRDefault="00211AE2" w:rsidP="00BC6B7C">
            <w:pPr>
              <w:jc w:val="center"/>
              <w:rPr>
                <w:rFonts w:ascii="Calibri" w:hAnsi="Calibri" w:cs="Calibri"/>
              </w:rPr>
            </w:pPr>
            <w:r w:rsidRPr="00524EF1">
              <w:rPr>
                <w:rFonts w:ascii="Calibri" w:hAnsi="Calibri" w:cs="Calibri"/>
              </w:rPr>
              <w:t>26</w:t>
            </w:r>
          </w:p>
        </w:tc>
        <w:tc>
          <w:tcPr>
            <w:tcW w:w="4496" w:type="dxa"/>
          </w:tcPr>
          <w:p w14:paraId="5AED26A5" w14:textId="77777777" w:rsidR="00211AE2" w:rsidRPr="00524EF1" w:rsidRDefault="00211AE2" w:rsidP="00BC6B7C">
            <w:pPr>
              <w:rPr>
                <w:rFonts w:ascii="Calibri" w:hAnsi="Calibri" w:cs="Calibri"/>
              </w:rPr>
            </w:pPr>
            <w:r w:rsidRPr="00524EF1">
              <w:rPr>
                <w:rFonts w:ascii="Calibri" w:hAnsi="Calibri" w:cs="Calibri"/>
              </w:rPr>
              <w:t xml:space="preserve">Se lleva a cabo una supervisión adecuada de la operación de bunkering por parte de los </w:t>
            </w:r>
            <w:r w:rsidRPr="00524EF1">
              <w:rPr>
                <w:rFonts w:ascii="Calibri" w:hAnsi="Calibri" w:cs="Calibri"/>
              </w:rPr>
              <w:lastRenderedPageBreak/>
              <w:t>responsables oficiales, tanto en el barco como en la terminal suministradora de GNL.</w:t>
            </w:r>
          </w:p>
          <w:p w14:paraId="56F076FC"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Adequate supervision of the bunker operation by responsible officers is in place, both on the ship and at the LNG onshore terminal.</w:t>
            </w:r>
          </w:p>
        </w:tc>
        <w:tc>
          <w:tcPr>
            <w:tcW w:w="873" w:type="dxa"/>
          </w:tcPr>
          <w:p w14:paraId="621182BA" w14:textId="77777777" w:rsidR="00211AE2" w:rsidRPr="00524EF1" w:rsidRDefault="00211AE2" w:rsidP="00BC6B7C">
            <w:pPr>
              <w:jc w:val="center"/>
              <w:rPr>
                <w:rFonts w:ascii="Calibri" w:hAnsi="Calibri" w:cs="Calibri"/>
                <w:bCs/>
                <w:lang w:val="en-US"/>
              </w:rPr>
            </w:pPr>
          </w:p>
        </w:tc>
        <w:tc>
          <w:tcPr>
            <w:tcW w:w="857" w:type="dxa"/>
          </w:tcPr>
          <w:p w14:paraId="54D109F6" w14:textId="77777777" w:rsidR="00211AE2" w:rsidRPr="00524EF1" w:rsidRDefault="00211AE2" w:rsidP="00BC6B7C">
            <w:pPr>
              <w:jc w:val="center"/>
              <w:rPr>
                <w:rFonts w:ascii="Calibri" w:hAnsi="Calibri" w:cs="Calibri"/>
                <w:bCs/>
                <w:lang w:val="en-US"/>
              </w:rPr>
            </w:pPr>
          </w:p>
        </w:tc>
        <w:tc>
          <w:tcPr>
            <w:tcW w:w="2421" w:type="dxa"/>
          </w:tcPr>
          <w:p w14:paraId="72780DE3" w14:textId="77777777" w:rsidR="00211AE2" w:rsidRPr="00524EF1" w:rsidRDefault="00211AE2" w:rsidP="00BC6B7C">
            <w:pPr>
              <w:jc w:val="center"/>
              <w:rPr>
                <w:rFonts w:ascii="Calibri" w:hAnsi="Calibri" w:cs="Calibri"/>
                <w:lang w:val="en-US"/>
              </w:rPr>
            </w:pPr>
          </w:p>
        </w:tc>
      </w:tr>
      <w:tr w:rsidR="00211AE2" w:rsidRPr="00524EF1" w14:paraId="42838675" w14:textId="77777777" w:rsidTr="00BC6B7C">
        <w:trPr>
          <w:trHeight w:val="540"/>
        </w:trPr>
        <w:tc>
          <w:tcPr>
            <w:tcW w:w="655" w:type="dxa"/>
            <w:vAlign w:val="center"/>
          </w:tcPr>
          <w:p w14:paraId="28B151D6" w14:textId="77777777" w:rsidR="00211AE2" w:rsidRPr="00524EF1" w:rsidRDefault="00211AE2" w:rsidP="00BC6B7C">
            <w:pPr>
              <w:jc w:val="center"/>
              <w:rPr>
                <w:rFonts w:ascii="Calibri" w:hAnsi="Calibri" w:cs="Calibri"/>
                <w:lang w:val="en-US"/>
              </w:rPr>
            </w:pPr>
            <w:r w:rsidRPr="00524EF1">
              <w:rPr>
                <w:rFonts w:ascii="Calibri" w:hAnsi="Calibri" w:cs="Calibri"/>
                <w:lang w:val="en-US"/>
              </w:rPr>
              <w:t>27</w:t>
            </w:r>
          </w:p>
        </w:tc>
        <w:tc>
          <w:tcPr>
            <w:tcW w:w="4496" w:type="dxa"/>
          </w:tcPr>
          <w:p w14:paraId="359D403C" w14:textId="77777777" w:rsidR="00211AE2" w:rsidRPr="00524EF1" w:rsidRDefault="00211AE2" w:rsidP="00BC6B7C">
            <w:pPr>
              <w:rPr>
                <w:rFonts w:ascii="Calibri" w:hAnsi="Calibri" w:cs="Calibri"/>
                <w:lang w:val="en-US"/>
              </w:rPr>
            </w:pPr>
            <w:r w:rsidRPr="00524EF1">
              <w:rPr>
                <w:rFonts w:ascii="Calibri" w:hAnsi="Calibri" w:cs="Calibri"/>
              </w:rPr>
              <w:t xml:space="preserve">Se ha establecido y probado un medio eficaz de comunicación entre los operadores responsables y los supervisores en el barco y la terminal de GNL. </w:t>
            </w:r>
            <w:r w:rsidRPr="00524EF1">
              <w:rPr>
                <w:rFonts w:ascii="Calibri" w:hAnsi="Calibri" w:cs="Calibri"/>
                <w:lang w:val="en-US"/>
              </w:rPr>
              <w:t xml:space="preserve">El idioma de comunicación ha sido acordado. </w:t>
            </w:r>
          </w:p>
          <w:p w14:paraId="6CB5FED5" w14:textId="77777777" w:rsidR="00211AE2" w:rsidRPr="00524EF1" w:rsidRDefault="00211AE2" w:rsidP="00BC6B7C">
            <w:pPr>
              <w:rPr>
                <w:rFonts w:ascii="Calibri" w:hAnsi="Calibri" w:cs="Calibri"/>
                <w:i/>
                <w:iCs/>
              </w:rPr>
            </w:pPr>
            <w:r w:rsidRPr="00524EF1">
              <w:rPr>
                <w:rFonts w:ascii="Calibri" w:hAnsi="Calibri" w:cs="Calibri"/>
                <w:i/>
                <w:iCs/>
                <w:lang w:val="en-US"/>
              </w:rPr>
              <w:t xml:space="preserve">An effective means of communication between the responsible operators and supervisors at the ship and LNG bunker station has been established and tested. The communication language has been agreed upon. </w:t>
            </w:r>
          </w:p>
        </w:tc>
        <w:tc>
          <w:tcPr>
            <w:tcW w:w="873" w:type="dxa"/>
          </w:tcPr>
          <w:p w14:paraId="1CFE24B2" w14:textId="77777777" w:rsidR="00211AE2" w:rsidRPr="00524EF1" w:rsidRDefault="00211AE2" w:rsidP="00BC6B7C">
            <w:pPr>
              <w:jc w:val="center"/>
              <w:rPr>
                <w:rFonts w:ascii="Calibri" w:hAnsi="Calibri" w:cs="Calibri"/>
                <w:bCs/>
              </w:rPr>
            </w:pPr>
          </w:p>
        </w:tc>
        <w:tc>
          <w:tcPr>
            <w:tcW w:w="857" w:type="dxa"/>
          </w:tcPr>
          <w:p w14:paraId="5CD2891E" w14:textId="77777777" w:rsidR="00211AE2" w:rsidRPr="00524EF1" w:rsidRDefault="00211AE2" w:rsidP="00BC6B7C">
            <w:pPr>
              <w:jc w:val="center"/>
              <w:rPr>
                <w:rFonts w:ascii="Calibri" w:hAnsi="Calibri" w:cs="Calibri"/>
                <w:bCs/>
              </w:rPr>
            </w:pPr>
          </w:p>
        </w:tc>
        <w:tc>
          <w:tcPr>
            <w:tcW w:w="2421" w:type="dxa"/>
          </w:tcPr>
          <w:p w14:paraId="13E3368B" w14:textId="77777777" w:rsidR="00211AE2" w:rsidRPr="00341C11" w:rsidRDefault="00211AE2" w:rsidP="00BC6B7C">
            <w:pPr>
              <w:rPr>
                <w:rFonts w:ascii="Calibri" w:hAnsi="Calibri" w:cs="Calibri"/>
                <w:lang w:val="it-IT"/>
              </w:rPr>
            </w:pPr>
            <w:r w:rsidRPr="00341C11">
              <w:rPr>
                <w:rFonts w:ascii="Calibri" w:hAnsi="Calibri" w:cs="Calibri"/>
                <w:lang w:val="it-IT"/>
              </w:rPr>
              <w:t xml:space="preserve">VHF/UHF Canal/ </w:t>
            </w:r>
            <w:r w:rsidRPr="00341C11">
              <w:rPr>
                <w:rFonts w:ascii="Calibri" w:hAnsi="Calibri" w:cs="Calibri"/>
                <w:i/>
                <w:iCs/>
                <w:lang w:val="it-IT"/>
              </w:rPr>
              <w:t>Channel</w:t>
            </w:r>
            <w:r w:rsidRPr="00341C11">
              <w:rPr>
                <w:rFonts w:ascii="Calibri" w:hAnsi="Calibri" w:cs="Calibri"/>
                <w:lang w:val="it-IT"/>
              </w:rPr>
              <w:t>...</w:t>
            </w:r>
          </w:p>
          <w:p w14:paraId="0EB02287" w14:textId="77777777" w:rsidR="00211AE2" w:rsidRPr="00341C11" w:rsidRDefault="00211AE2" w:rsidP="00BC6B7C">
            <w:pPr>
              <w:rPr>
                <w:rFonts w:ascii="Calibri" w:hAnsi="Calibri" w:cs="Calibri"/>
                <w:lang w:val="it-IT"/>
              </w:rPr>
            </w:pPr>
            <w:r w:rsidRPr="00341C11">
              <w:rPr>
                <w:rFonts w:ascii="Calibri" w:hAnsi="Calibri" w:cs="Calibri"/>
                <w:lang w:val="it-IT"/>
              </w:rPr>
              <w:t xml:space="preserve">Idioma/ </w:t>
            </w:r>
            <w:r w:rsidRPr="00341C11">
              <w:rPr>
                <w:rFonts w:ascii="Calibri" w:hAnsi="Calibri" w:cs="Calibri"/>
                <w:i/>
                <w:iCs/>
                <w:lang w:val="it-IT"/>
              </w:rPr>
              <w:t>language</w:t>
            </w:r>
            <w:r w:rsidRPr="00341C11">
              <w:rPr>
                <w:rFonts w:ascii="Calibri" w:hAnsi="Calibri" w:cs="Calibri"/>
                <w:lang w:val="it-IT"/>
              </w:rPr>
              <w:t>:</w:t>
            </w:r>
          </w:p>
          <w:p w14:paraId="16295915" w14:textId="77777777" w:rsidR="00211AE2" w:rsidRPr="00341C11" w:rsidRDefault="00211AE2" w:rsidP="00BC6B7C">
            <w:pPr>
              <w:rPr>
                <w:rFonts w:ascii="Calibri" w:hAnsi="Calibri" w:cs="Calibri"/>
                <w:lang w:val="it-IT"/>
              </w:rPr>
            </w:pPr>
          </w:p>
          <w:p w14:paraId="4B4B2B68" w14:textId="77777777" w:rsidR="00211AE2" w:rsidRPr="00341C11" w:rsidRDefault="00211AE2" w:rsidP="00BC6B7C">
            <w:pPr>
              <w:rPr>
                <w:rFonts w:ascii="Calibri" w:hAnsi="Calibri" w:cs="Calibri"/>
                <w:lang w:val="it-IT"/>
              </w:rPr>
            </w:pPr>
            <w:r w:rsidRPr="00341C11">
              <w:rPr>
                <w:rFonts w:ascii="Calibri" w:hAnsi="Calibri" w:cs="Calibri"/>
                <w:lang w:val="it-IT"/>
              </w:rPr>
              <w:t>Sistema primario/</w:t>
            </w:r>
            <w:r w:rsidRPr="00341C11">
              <w:rPr>
                <w:rFonts w:ascii="Calibri" w:hAnsi="Calibri" w:cs="Calibri"/>
                <w:i/>
                <w:iCs/>
                <w:lang w:val="it-IT"/>
              </w:rPr>
              <w:t>Primary system</w:t>
            </w:r>
            <w:r w:rsidRPr="00341C11">
              <w:rPr>
                <w:rFonts w:ascii="Calibri" w:hAnsi="Calibri" w:cs="Calibri"/>
                <w:lang w:val="it-IT"/>
              </w:rPr>
              <w:t>:</w:t>
            </w:r>
          </w:p>
          <w:p w14:paraId="1DCD1823" w14:textId="77777777" w:rsidR="00211AE2" w:rsidRPr="00341C11" w:rsidRDefault="00211AE2" w:rsidP="00BC6B7C">
            <w:pPr>
              <w:rPr>
                <w:rFonts w:ascii="Calibri" w:hAnsi="Calibri" w:cs="Calibri"/>
                <w:lang w:val="it-IT"/>
              </w:rPr>
            </w:pPr>
          </w:p>
          <w:p w14:paraId="6023CB02" w14:textId="77777777" w:rsidR="00211AE2" w:rsidRPr="00524EF1" w:rsidRDefault="00211AE2" w:rsidP="00BC6B7C">
            <w:pPr>
              <w:rPr>
                <w:rFonts w:ascii="Calibri" w:hAnsi="Calibri" w:cs="Calibri"/>
              </w:rPr>
            </w:pPr>
            <w:r w:rsidRPr="00524EF1">
              <w:rPr>
                <w:rFonts w:ascii="Calibri" w:hAnsi="Calibri" w:cs="Calibri"/>
              </w:rPr>
              <w:t xml:space="preserve">Sistema de refuerzo / </w:t>
            </w:r>
            <w:r w:rsidRPr="00524EF1">
              <w:rPr>
                <w:rFonts w:ascii="Calibri" w:hAnsi="Calibri" w:cs="Calibri"/>
                <w:i/>
                <w:iCs/>
              </w:rPr>
              <w:t>Backup system</w:t>
            </w:r>
            <w:r w:rsidRPr="00524EF1">
              <w:rPr>
                <w:rFonts w:ascii="Calibri" w:hAnsi="Calibri" w:cs="Calibri"/>
              </w:rPr>
              <w:t>:</w:t>
            </w:r>
          </w:p>
          <w:p w14:paraId="582FF2D4" w14:textId="77777777" w:rsidR="00211AE2" w:rsidRPr="00524EF1" w:rsidRDefault="00211AE2" w:rsidP="00BC6B7C">
            <w:pPr>
              <w:rPr>
                <w:rFonts w:ascii="Calibri" w:hAnsi="Calibri" w:cs="Calibri"/>
              </w:rPr>
            </w:pPr>
          </w:p>
        </w:tc>
      </w:tr>
      <w:tr w:rsidR="00211AE2" w:rsidRPr="00524EF1" w14:paraId="4BC2E4A0" w14:textId="77777777" w:rsidTr="00BC6B7C">
        <w:trPr>
          <w:trHeight w:val="540"/>
        </w:trPr>
        <w:tc>
          <w:tcPr>
            <w:tcW w:w="655" w:type="dxa"/>
            <w:vAlign w:val="center"/>
          </w:tcPr>
          <w:p w14:paraId="4ACA0F5E" w14:textId="77777777" w:rsidR="00211AE2" w:rsidRPr="00524EF1" w:rsidRDefault="00211AE2" w:rsidP="00BC6B7C">
            <w:pPr>
              <w:jc w:val="center"/>
              <w:rPr>
                <w:rFonts w:ascii="Calibri" w:hAnsi="Calibri" w:cs="Calibri"/>
              </w:rPr>
            </w:pPr>
            <w:r w:rsidRPr="00524EF1">
              <w:rPr>
                <w:rFonts w:ascii="Calibri" w:hAnsi="Calibri" w:cs="Calibri"/>
              </w:rPr>
              <w:t>28</w:t>
            </w:r>
          </w:p>
        </w:tc>
        <w:tc>
          <w:tcPr>
            <w:tcW w:w="4496" w:type="dxa"/>
          </w:tcPr>
          <w:p w14:paraId="44BC7352" w14:textId="77777777" w:rsidR="00211AE2" w:rsidRPr="00524EF1" w:rsidRDefault="00211AE2" w:rsidP="00BC6B7C">
            <w:pPr>
              <w:rPr>
                <w:rFonts w:ascii="Calibri" w:hAnsi="Calibri" w:cs="Calibri"/>
              </w:rPr>
            </w:pPr>
            <w:r w:rsidRPr="00524EF1">
              <w:rPr>
                <w:rFonts w:ascii="Calibri" w:hAnsi="Calibri" w:cs="Calibri"/>
              </w:rPr>
              <w:t>La señal de parada de emergencia y/o los procedimientos han sido acordados, probados y explicados a todo el personal involucrado. Los procedimientos y planes de emergencia y los números de contacto son conocidos por las personas responsables.</w:t>
            </w:r>
          </w:p>
          <w:p w14:paraId="0CA0F964"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emergency stop signal and/or shutdown procedures have been agreed upon, tested, and explained to all personnel involved. Emergency procedures and plans and the contact numbers are known to the persons in charge.</w:t>
            </w:r>
          </w:p>
        </w:tc>
        <w:tc>
          <w:tcPr>
            <w:tcW w:w="873" w:type="dxa"/>
          </w:tcPr>
          <w:p w14:paraId="168C3AB0" w14:textId="77777777" w:rsidR="00211AE2" w:rsidRPr="00524EF1" w:rsidRDefault="00211AE2" w:rsidP="00BC6B7C">
            <w:pPr>
              <w:jc w:val="center"/>
              <w:rPr>
                <w:rFonts w:ascii="Calibri" w:hAnsi="Calibri" w:cs="Calibri"/>
                <w:bCs/>
                <w:lang w:val="en-US"/>
              </w:rPr>
            </w:pPr>
          </w:p>
        </w:tc>
        <w:tc>
          <w:tcPr>
            <w:tcW w:w="857" w:type="dxa"/>
          </w:tcPr>
          <w:p w14:paraId="1CB41EBF" w14:textId="77777777" w:rsidR="00211AE2" w:rsidRPr="00524EF1" w:rsidRDefault="00211AE2" w:rsidP="00BC6B7C">
            <w:pPr>
              <w:jc w:val="center"/>
              <w:rPr>
                <w:rFonts w:ascii="Calibri" w:hAnsi="Calibri" w:cs="Calibri"/>
                <w:bCs/>
                <w:lang w:val="en-US"/>
              </w:rPr>
            </w:pPr>
          </w:p>
        </w:tc>
        <w:tc>
          <w:tcPr>
            <w:tcW w:w="2421" w:type="dxa"/>
          </w:tcPr>
          <w:p w14:paraId="450C50B1" w14:textId="77777777" w:rsidR="00211AE2" w:rsidRPr="00524EF1" w:rsidRDefault="00211AE2" w:rsidP="00BC6B7C">
            <w:pPr>
              <w:rPr>
                <w:rFonts w:ascii="Calibri" w:hAnsi="Calibri" w:cs="Calibri"/>
                <w:i/>
                <w:iCs/>
              </w:rPr>
            </w:pPr>
            <w:r w:rsidRPr="00524EF1">
              <w:rPr>
                <w:rFonts w:ascii="Calibri" w:hAnsi="Calibri" w:cs="Calibri"/>
              </w:rPr>
              <w:t xml:space="preserve">Señal de parada de emergencia / </w:t>
            </w:r>
            <w:r w:rsidRPr="00524EF1">
              <w:rPr>
                <w:rFonts w:ascii="Calibri" w:hAnsi="Calibri" w:cs="Calibri"/>
                <w:i/>
                <w:iCs/>
              </w:rPr>
              <w:t>Emergency stop signal</w:t>
            </w:r>
          </w:p>
          <w:p w14:paraId="04805ED6" w14:textId="77777777" w:rsidR="00211AE2" w:rsidRPr="00524EF1" w:rsidRDefault="00211AE2" w:rsidP="00BC6B7C">
            <w:pPr>
              <w:jc w:val="center"/>
              <w:rPr>
                <w:rFonts w:ascii="Calibri" w:hAnsi="Calibri" w:cs="Calibri"/>
              </w:rPr>
            </w:pPr>
          </w:p>
        </w:tc>
      </w:tr>
      <w:tr w:rsidR="00211AE2" w:rsidRPr="00450A01" w14:paraId="6C66B9A8" w14:textId="77777777" w:rsidTr="00BC6B7C">
        <w:trPr>
          <w:trHeight w:val="540"/>
        </w:trPr>
        <w:tc>
          <w:tcPr>
            <w:tcW w:w="655" w:type="dxa"/>
            <w:vAlign w:val="center"/>
          </w:tcPr>
          <w:p w14:paraId="0EC9A066" w14:textId="77777777" w:rsidR="00211AE2" w:rsidRPr="00524EF1" w:rsidRDefault="00211AE2" w:rsidP="00BC6B7C">
            <w:pPr>
              <w:jc w:val="center"/>
              <w:rPr>
                <w:rFonts w:ascii="Calibri" w:hAnsi="Calibri" w:cs="Calibri"/>
              </w:rPr>
            </w:pPr>
            <w:r w:rsidRPr="00524EF1">
              <w:rPr>
                <w:rFonts w:ascii="Calibri" w:hAnsi="Calibri" w:cs="Calibri"/>
              </w:rPr>
              <w:t>29</w:t>
            </w:r>
          </w:p>
        </w:tc>
        <w:tc>
          <w:tcPr>
            <w:tcW w:w="4496" w:type="dxa"/>
          </w:tcPr>
          <w:p w14:paraId="681B2D76" w14:textId="77777777" w:rsidR="00211AE2" w:rsidRPr="00524EF1" w:rsidRDefault="00211AE2" w:rsidP="00BC6B7C">
            <w:pPr>
              <w:rPr>
                <w:rFonts w:ascii="Calibri" w:hAnsi="Calibri" w:cs="Calibri"/>
              </w:rPr>
            </w:pPr>
            <w:r w:rsidRPr="00524EF1">
              <w:rPr>
                <w:rFonts w:ascii="Calibri" w:hAnsi="Calibri" w:cs="Calibri"/>
              </w:rPr>
              <w:t>El área restringida está libre de otros barcos, personas no autorizadas, objetos y fuentes de ignición.</w:t>
            </w:r>
          </w:p>
          <w:p w14:paraId="75AC01D9"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restricted area is free of other ships, unauthorized persons, objects and ignition sources.</w:t>
            </w:r>
          </w:p>
        </w:tc>
        <w:tc>
          <w:tcPr>
            <w:tcW w:w="873" w:type="dxa"/>
          </w:tcPr>
          <w:p w14:paraId="62CFD6F1" w14:textId="77777777" w:rsidR="00211AE2" w:rsidRPr="00524EF1" w:rsidRDefault="00211AE2" w:rsidP="00BC6B7C">
            <w:pPr>
              <w:jc w:val="center"/>
              <w:rPr>
                <w:rFonts w:ascii="Calibri" w:hAnsi="Calibri" w:cs="Calibri"/>
                <w:bCs/>
                <w:lang w:val="en-US"/>
              </w:rPr>
            </w:pPr>
          </w:p>
        </w:tc>
        <w:tc>
          <w:tcPr>
            <w:tcW w:w="857" w:type="dxa"/>
          </w:tcPr>
          <w:p w14:paraId="5A75D828" w14:textId="77777777" w:rsidR="00211AE2" w:rsidRPr="00524EF1" w:rsidRDefault="00211AE2" w:rsidP="00BC6B7C">
            <w:pPr>
              <w:jc w:val="center"/>
              <w:rPr>
                <w:rFonts w:ascii="Calibri" w:hAnsi="Calibri" w:cs="Calibri"/>
                <w:bCs/>
                <w:lang w:val="en-US"/>
              </w:rPr>
            </w:pPr>
          </w:p>
        </w:tc>
        <w:tc>
          <w:tcPr>
            <w:tcW w:w="2421" w:type="dxa"/>
          </w:tcPr>
          <w:p w14:paraId="75F252FD" w14:textId="77777777" w:rsidR="00211AE2" w:rsidRPr="00524EF1" w:rsidRDefault="00211AE2" w:rsidP="00BC6B7C">
            <w:pPr>
              <w:jc w:val="center"/>
              <w:rPr>
                <w:rFonts w:ascii="Calibri" w:hAnsi="Calibri" w:cs="Calibri"/>
                <w:lang w:val="en-US"/>
              </w:rPr>
            </w:pPr>
          </w:p>
        </w:tc>
      </w:tr>
      <w:tr w:rsidR="00211AE2" w:rsidRPr="00450A01" w14:paraId="34AE5CC8" w14:textId="77777777" w:rsidTr="00BC6B7C">
        <w:trPr>
          <w:trHeight w:val="540"/>
        </w:trPr>
        <w:tc>
          <w:tcPr>
            <w:tcW w:w="655" w:type="dxa"/>
            <w:vAlign w:val="center"/>
          </w:tcPr>
          <w:p w14:paraId="3BED44B6" w14:textId="77777777" w:rsidR="00211AE2" w:rsidRPr="00524EF1" w:rsidRDefault="00211AE2" w:rsidP="00BC6B7C">
            <w:pPr>
              <w:jc w:val="center"/>
              <w:rPr>
                <w:rFonts w:ascii="Calibri" w:hAnsi="Calibri" w:cs="Calibri"/>
              </w:rPr>
            </w:pPr>
            <w:r w:rsidRPr="00524EF1">
              <w:rPr>
                <w:rFonts w:ascii="Calibri" w:hAnsi="Calibri" w:cs="Calibri"/>
              </w:rPr>
              <w:t>30</w:t>
            </w:r>
          </w:p>
        </w:tc>
        <w:tc>
          <w:tcPr>
            <w:tcW w:w="4496" w:type="dxa"/>
          </w:tcPr>
          <w:p w14:paraId="1871DC80" w14:textId="77777777" w:rsidR="00211AE2" w:rsidRPr="00524EF1" w:rsidRDefault="00211AE2" w:rsidP="00BC6B7C">
            <w:pPr>
              <w:rPr>
                <w:rFonts w:ascii="Calibri" w:hAnsi="Calibri" w:cs="Calibri"/>
              </w:rPr>
            </w:pPr>
            <w:r w:rsidRPr="00524EF1">
              <w:rPr>
                <w:rFonts w:ascii="Calibri" w:hAnsi="Calibri" w:cs="Calibri"/>
              </w:rPr>
              <w:t>Se establece una vigilancia de cubierta efectiva en el barco.</w:t>
            </w:r>
          </w:p>
          <w:p w14:paraId="6324E0EE"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On the ship an effective deck watch is established</w:t>
            </w:r>
          </w:p>
        </w:tc>
        <w:tc>
          <w:tcPr>
            <w:tcW w:w="873" w:type="dxa"/>
          </w:tcPr>
          <w:p w14:paraId="18D600C7" w14:textId="77777777" w:rsidR="00211AE2" w:rsidRPr="00524EF1" w:rsidRDefault="00211AE2" w:rsidP="00BC6B7C">
            <w:pPr>
              <w:jc w:val="center"/>
              <w:rPr>
                <w:rFonts w:ascii="Calibri" w:hAnsi="Calibri" w:cs="Calibri"/>
                <w:bCs/>
                <w:lang w:val="en-US"/>
              </w:rPr>
            </w:pPr>
          </w:p>
        </w:tc>
        <w:tc>
          <w:tcPr>
            <w:tcW w:w="857" w:type="dxa"/>
          </w:tcPr>
          <w:p w14:paraId="64E87E80" w14:textId="77777777" w:rsidR="00211AE2" w:rsidRPr="00524EF1" w:rsidRDefault="00211AE2" w:rsidP="00BC6B7C">
            <w:pPr>
              <w:jc w:val="center"/>
              <w:rPr>
                <w:rFonts w:ascii="Calibri" w:hAnsi="Calibri" w:cs="Calibri"/>
                <w:bCs/>
                <w:lang w:val="en-US"/>
              </w:rPr>
            </w:pPr>
          </w:p>
        </w:tc>
        <w:tc>
          <w:tcPr>
            <w:tcW w:w="2421" w:type="dxa"/>
          </w:tcPr>
          <w:p w14:paraId="4649D4C8" w14:textId="77777777" w:rsidR="00211AE2" w:rsidRPr="00524EF1" w:rsidRDefault="00211AE2" w:rsidP="00BC6B7C">
            <w:pPr>
              <w:rPr>
                <w:rFonts w:ascii="Calibri" w:hAnsi="Calibri" w:cs="Calibri"/>
              </w:rPr>
            </w:pPr>
            <w:r w:rsidRPr="00524EF1">
              <w:rPr>
                <w:rFonts w:ascii="Calibri" w:hAnsi="Calibri" w:cs="Calibri"/>
              </w:rPr>
              <w:t>El vigilante presta especial atención a los amarres, defensas y actividades simultáneas.</w:t>
            </w:r>
          </w:p>
          <w:p w14:paraId="1974E628"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 xml:space="preserve">The deck watch pays particular attention to </w:t>
            </w:r>
            <w:r w:rsidRPr="00524EF1">
              <w:rPr>
                <w:rFonts w:ascii="Calibri" w:hAnsi="Calibri" w:cs="Calibri"/>
                <w:i/>
                <w:iCs/>
                <w:lang w:val="en-US"/>
              </w:rPr>
              <w:lastRenderedPageBreak/>
              <w:t>moorings, fenders and simultaneous activities</w:t>
            </w:r>
          </w:p>
        </w:tc>
      </w:tr>
      <w:tr w:rsidR="00211AE2" w:rsidRPr="00450A01" w14:paraId="1FAD680D" w14:textId="77777777" w:rsidTr="00BC6B7C">
        <w:trPr>
          <w:trHeight w:val="540"/>
        </w:trPr>
        <w:tc>
          <w:tcPr>
            <w:tcW w:w="655" w:type="dxa"/>
            <w:vAlign w:val="center"/>
          </w:tcPr>
          <w:p w14:paraId="202A2CBD" w14:textId="77777777" w:rsidR="00211AE2" w:rsidRPr="00524EF1" w:rsidRDefault="00211AE2" w:rsidP="00BC6B7C">
            <w:pPr>
              <w:jc w:val="center"/>
              <w:rPr>
                <w:rFonts w:ascii="Calibri" w:hAnsi="Calibri" w:cs="Calibri"/>
                <w:lang w:val="en-US"/>
              </w:rPr>
            </w:pPr>
            <w:r w:rsidRPr="00524EF1">
              <w:rPr>
                <w:rFonts w:ascii="Calibri" w:hAnsi="Calibri" w:cs="Calibri"/>
                <w:lang w:val="en-US"/>
              </w:rPr>
              <w:lastRenderedPageBreak/>
              <w:t>31</w:t>
            </w:r>
          </w:p>
        </w:tc>
        <w:tc>
          <w:tcPr>
            <w:tcW w:w="4496" w:type="dxa"/>
          </w:tcPr>
          <w:p w14:paraId="0D031E76" w14:textId="77777777" w:rsidR="00211AE2" w:rsidRPr="00524EF1" w:rsidRDefault="00211AE2" w:rsidP="00BC6B7C">
            <w:pPr>
              <w:rPr>
                <w:rFonts w:ascii="Calibri" w:hAnsi="Calibri" w:cs="Calibri"/>
              </w:rPr>
            </w:pPr>
            <w:r w:rsidRPr="00524EF1">
              <w:rPr>
                <w:rFonts w:ascii="Calibri" w:hAnsi="Calibri" w:cs="Calibri"/>
              </w:rPr>
              <w:t>Se ha establecido una vigilancia efectiva del búnkering de GNL en el buque y la terminal de GNL.</w:t>
            </w:r>
          </w:p>
          <w:p w14:paraId="4BB45980"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Both on the ship and onshore LNG terminal an effective   LNG bunker watch is established.</w:t>
            </w:r>
          </w:p>
        </w:tc>
        <w:tc>
          <w:tcPr>
            <w:tcW w:w="873" w:type="dxa"/>
          </w:tcPr>
          <w:p w14:paraId="60DA6C06" w14:textId="77777777" w:rsidR="00211AE2" w:rsidRPr="00524EF1" w:rsidRDefault="00211AE2" w:rsidP="00BC6B7C">
            <w:pPr>
              <w:jc w:val="center"/>
              <w:rPr>
                <w:rFonts w:ascii="Calibri" w:hAnsi="Calibri" w:cs="Calibri"/>
                <w:bCs/>
                <w:lang w:val="en-US"/>
              </w:rPr>
            </w:pPr>
          </w:p>
        </w:tc>
        <w:tc>
          <w:tcPr>
            <w:tcW w:w="857" w:type="dxa"/>
          </w:tcPr>
          <w:p w14:paraId="366F0AEE" w14:textId="77777777" w:rsidR="00211AE2" w:rsidRPr="00524EF1" w:rsidRDefault="00211AE2" w:rsidP="00BC6B7C">
            <w:pPr>
              <w:jc w:val="center"/>
              <w:rPr>
                <w:rFonts w:ascii="Calibri" w:hAnsi="Calibri" w:cs="Calibri"/>
                <w:bCs/>
                <w:lang w:val="en-US"/>
              </w:rPr>
            </w:pPr>
          </w:p>
        </w:tc>
        <w:tc>
          <w:tcPr>
            <w:tcW w:w="2421" w:type="dxa"/>
          </w:tcPr>
          <w:p w14:paraId="5D0323C0" w14:textId="77777777" w:rsidR="00211AE2" w:rsidRPr="00524EF1" w:rsidRDefault="00211AE2" w:rsidP="00BC6B7C">
            <w:pPr>
              <w:rPr>
                <w:rFonts w:ascii="Calibri" w:hAnsi="Calibri" w:cs="Calibri"/>
              </w:rPr>
            </w:pPr>
            <w:r w:rsidRPr="00524EF1">
              <w:rPr>
                <w:rFonts w:ascii="Calibri" w:hAnsi="Calibri" w:cs="Calibri"/>
              </w:rPr>
              <w:t>El vigilante presta especial atención a las mangueras, colectores y controles de bunkering.</w:t>
            </w:r>
          </w:p>
          <w:p w14:paraId="5C7F6E0A" w14:textId="77777777" w:rsidR="00211AE2" w:rsidRPr="00524EF1" w:rsidRDefault="00211AE2" w:rsidP="00BC6B7C">
            <w:pPr>
              <w:rPr>
                <w:rFonts w:ascii="Calibri" w:hAnsi="Calibri" w:cs="Calibri"/>
                <w:lang w:val="en-US"/>
              </w:rPr>
            </w:pPr>
            <w:r w:rsidRPr="00524EF1">
              <w:rPr>
                <w:rFonts w:ascii="Calibri" w:hAnsi="Calibri" w:cs="Calibri"/>
                <w:i/>
                <w:iCs/>
                <w:lang w:val="en-US"/>
              </w:rPr>
              <w:t>The LNG bunker watch pays particular attention</w:t>
            </w:r>
            <w:r w:rsidRPr="00524EF1">
              <w:rPr>
                <w:rFonts w:ascii="Calibri" w:hAnsi="Calibri" w:cs="Calibri"/>
                <w:lang w:val="en-US"/>
              </w:rPr>
              <w:t xml:space="preserve"> </w:t>
            </w:r>
            <w:r w:rsidRPr="00524EF1">
              <w:rPr>
                <w:rFonts w:ascii="Calibri" w:hAnsi="Calibri" w:cs="Calibri"/>
                <w:i/>
                <w:iCs/>
                <w:lang w:val="en-US"/>
              </w:rPr>
              <w:t>to hoses, manifold, and bunker controls.</w:t>
            </w:r>
          </w:p>
        </w:tc>
      </w:tr>
      <w:tr w:rsidR="00211AE2" w:rsidRPr="00450A01" w14:paraId="14322529" w14:textId="77777777" w:rsidTr="00BC6B7C">
        <w:trPr>
          <w:trHeight w:val="540"/>
        </w:trPr>
        <w:tc>
          <w:tcPr>
            <w:tcW w:w="655" w:type="dxa"/>
            <w:vAlign w:val="center"/>
          </w:tcPr>
          <w:p w14:paraId="5A7D7C35" w14:textId="77777777" w:rsidR="00211AE2" w:rsidRPr="00524EF1" w:rsidRDefault="00211AE2" w:rsidP="00BC6B7C">
            <w:pPr>
              <w:jc w:val="center"/>
              <w:rPr>
                <w:rFonts w:ascii="Calibri" w:hAnsi="Calibri" w:cs="Calibri"/>
                <w:lang w:val="en-US"/>
              </w:rPr>
            </w:pPr>
            <w:r w:rsidRPr="00524EF1">
              <w:rPr>
                <w:rFonts w:ascii="Calibri" w:hAnsi="Calibri" w:cs="Calibri"/>
                <w:lang w:val="en-US"/>
              </w:rPr>
              <w:t>32</w:t>
            </w:r>
          </w:p>
        </w:tc>
        <w:tc>
          <w:tcPr>
            <w:tcW w:w="4496" w:type="dxa"/>
          </w:tcPr>
          <w:p w14:paraId="1B12F405" w14:textId="77777777" w:rsidR="00211AE2" w:rsidRPr="00524EF1" w:rsidRDefault="00211AE2" w:rsidP="00BC6B7C">
            <w:pPr>
              <w:rPr>
                <w:rFonts w:ascii="Calibri" w:hAnsi="Calibri" w:cs="Calibri"/>
              </w:rPr>
            </w:pPr>
            <w:r w:rsidRPr="00524EF1">
              <w:rPr>
                <w:rFonts w:ascii="Calibri" w:hAnsi="Calibri" w:cs="Calibri"/>
              </w:rPr>
              <w:t>Las puertas exteriores, los ojos de buey y las entradas de ventilación del alojamiento están cerradas según el manual de operaciones.</w:t>
            </w:r>
          </w:p>
          <w:p w14:paraId="41281379"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External doors, portholes and accommodation ventilation inlets are closed as per operations manual.</w:t>
            </w:r>
          </w:p>
        </w:tc>
        <w:tc>
          <w:tcPr>
            <w:tcW w:w="873" w:type="dxa"/>
          </w:tcPr>
          <w:p w14:paraId="397FD084" w14:textId="77777777" w:rsidR="00211AE2" w:rsidRPr="00524EF1" w:rsidRDefault="00211AE2" w:rsidP="00BC6B7C">
            <w:pPr>
              <w:jc w:val="center"/>
              <w:rPr>
                <w:rFonts w:ascii="Calibri" w:hAnsi="Calibri" w:cs="Calibri"/>
                <w:bCs/>
                <w:lang w:val="en-US"/>
              </w:rPr>
            </w:pPr>
          </w:p>
        </w:tc>
        <w:tc>
          <w:tcPr>
            <w:tcW w:w="857" w:type="dxa"/>
          </w:tcPr>
          <w:p w14:paraId="776F1D55" w14:textId="77777777" w:rsidR="00211AE2" w:rsidRPr="00524EF1" w:rsidRDefault="00211AE2" w:rsidP="00BC6B7C">
            <w:pPr>
              <w:jc w:val="center"/>
              <w:rPr>
                <w:rFonts w:ascii="Calibri" w:hAnsi="Calibri" w:cs="Calibri"/>
                <w:bCs/>
                <w:lang w:val="en-US"/>
              </w:rPr>
            </w:pPr>
          </w:p>
        </w:tc>
        <w:tc>
          <w:tcPr>
            <w:tcW w:w="2421" w:type="dxa"/>
          </w:tcPr>
          <w:p w14:paraId="7CC54DB8" w14:textId="77777777" w:rsidR="00211AE2" w:rsidRPr="00524EF1" w:rsidRDefault="00211AE2" w:rsidP="00BC6B7C">
            <w:pPr>
              <w:rPr>
                <w:rFonts w:ascii="Calibri" w:hAnsi="Calibri" w:cs="Calibri"/>
              </w:rPr>
            </w:pPr>
            <w:r w:rsidRPr="00524EF1">
              <w:rPr>
                <w:rFonts w:ascii="Calibri" w:hAnsi="Calibri" w:cs="Calibri"/>
              </w:rPr>
              <w:t>En ningún momento deberían estar cerrados con llave</w:t>
            </w:r>
          </w:p>
          <w:p w14:paraId="3843982F"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At no time should be locked</w:t>
            </w:r>
          </w:p>
        </w:tc>
      </w:tr>
      <w:tr w:rsidR="00211AE2" w:rsidRPr="00450A01" w14:paraId="28B51025" w14:textId="77777777" w:rsidTr="00BC6B7C">
        <w:trPr>
          <w:trHeight w:val="540"/>
        </w:trPr>
        <w:tc>
          <w:tcPr>
            <w:tcW w:w="655" w:type="dxa"/>
            <w:vAlign w:val="center"/>
          </w:tcPr>
          <w:p w14:paraId="62C84074" w14:textId="77777777" w:rsidR="00211AE2" w:rsidRPr="00524EF1" w:rsidRDefault="00211AE2" w:rsidP="00BC6B7C">
            <w:pPr>
              <w:jc w:val="center"/>
              <w:rPr>
                <w:rFonts w:ascii="Calibri" w:hAnsi="Calibri" w:cs="Calibri"/>
                <w:lang w:val="en-US"/>
              </w:rPr>
            </w:pPr>
            <w:r w:rsidRPr="00524EF1">
              <w:rPr>
                <w:rFonts w:ascii="Calibri" w:hAnsi="Calibri" w:cs="Calibri"/>
                <w:lang w:val="en-US"/>
              </w:rPr>
              <w:t>33</w:t>
            </w:r>
          </w:p>
        </w:tc>
        <w:tc>
          <w:tcPr>
            <w:tcW w:w="4496" w:type="dxa"/>
          </w:tcPr>
          <w:p w14:paraId="375D8293" w14:textId="77777777" w:rsidR="00211AE2" w:rsidRPr="00524EF1" w:rsidRDefault="00211AE2" w:rsidP="00BC6B7C">
            <w:pPr>
              <w:rPr>
                <w:rFonts w:ascii="Calibri" w:hAnsi="Calibri" w:cs="Calibri"/>
              </w:rPr>
            </w:pPr>
            <w:r w:rsidRPr="00524EF1">
              <w:rPr>
                <w:rFonts w:ascii="Calibri" w:hAnsi="Calibri" w:cs="Calibri"/>
              </w:rPr>
              <w:t>El equipo de detección de gas ha sido probado en condiciones de operación y se encuentra en buen estado de funcionamiento.</w:t>
            </w:r>
          </w:p>
          <w:p w14:paraId="1967127A"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gas detection equipment has been operationally tested and found to be in good working order.</w:t>
            </w:r>
          </w:p>
        </w:tc>
        <w:tc>
          <w:tcPr>
            <w:tcW w:w="873" w:type="dxa"/>
          </w:tcPr>
          <w:p w14:paraId="223C9A54" w14:textId="77777777" w:rsidR="00211AE2" w:rsidRPr="00524EF1" w:rsidRDefault="00211AE2" w:rsidP="00BC6B7C">
            <w:pPr>
              <w:jc w:val="center"/>
              <w:rPr>
                <w:rFonts w:ascii="Calibri" w:hAnsi="Calibri" w:cs="Calibri"/>
                <w:bCs/>
                <w:lang w:val="en-US"/>
              </w:rPr>
            </w:pPr>
          </w:p>
        </w:tc>
        <w:tc>
          <w:tcPr>
            <w:tcW w:w="857" w:type="dxa"/>
          </w:tcPr>
          <w:p w14:paraId="09F95159" w14:textId="77777777" w:rsidR="00211AE2" w:rsidRPr="00524EF1" w:rsidRDefault="00211AE2" w:rsidP="00BC6B7C">
            <w:pPr>
              <w:jc w:val="center"/>
              <w:rPr>
                <w:rFonts w:ascii="Calibri" w:hAnsi="Calibri" w:cs="Calibri"/>
                <w:bCs/>
                <w:lang w:val="en-US"/>
              </w:rPr>
            </w:pPr>
          </w:p>
        </w:tc>
        <w:tc>
          <w:tcPr>
            <w:tcW w:w="2421" w:type="dxa"/>
          </w:tcPr>
          <w:p w14:paraId="3CB28C17" w14:textId="77777777" w:rsidR="00211AE2" w:rsidRPr="00524EF1" w:rsidRDefault="00211AE2" w:rsidP="00BC6B7C">
            <w:pPr>
              <w:jc w:val="center"/>
              <w:rPr>
                <w:rFonts w:ascii="Calibri" w:hAnsi="Calibri" w:cs="Calibri"/>
                <w:lang w:val="en-US"/>
              </w:rPr>
            </w:pPr>
          </w:p>
        </w:tc>
      </w:tr>
      <w:tr w:rsidR="00211AE2" w:rsidRPr="00450A01" w14:paraId="7118E6F8" w14:textId="77777777" w:rsidTr="00BC6B7C">
        <w:trPr>
          <w:trHeight w:val="540"/>
        </w:trPr>
        <w:tc>
          <w:tcPr>
            <w:tcW w:w="655" w:type="dxa"/>
            <w:vAlign w:val="center"/>
          </w:tcPr>
          <w:p w14:paraId="45392159" w14:textId="77777777" w:rsidR="00211AE2" w:rsidRPr="00524EF1" w:rsidRDefault="00211AE2" w:rsidP="00BC6B7C">
            <w:pPr>
              <w:jc w:val="center"/>
              <w:rPr>
                <w:rFonts w:ascii="Calibri" w:hAnsi="Calibri" w:cs="Calibri"/>
                <w:lang w:val="en-US"/>
              </w:rPr>
            </w:pPr>
            <w:r w:rsidRPr="00524EF1">
              <w:rPr>
                <w:rFonts w:ascii="Calibri" w:hAnsi="Calibri" w:cs="Calibri"/>
                <w:lang w:val="en-US"/>
              </w:rPr>
              <w:t>34</w:t>
            </w:r>
          </w:p>
        </w:tc>
        <w:tc>
          <w:tcPr>
            <w:tcW w:w="4496" w:type="dxa"/>
          </w:tcPr>
          <w:p w14:paraId="3BC13F3B" w14:textId="77777777" w:rsidR="00211AE2" w:rsidRPr="00524EF1" w:rsidRDefault="00211AE2" w:rsidP="00BC6B7C">
            <w:pPr>
              <w:rPr>
                <w:rFonts w:ascii="Calibri" w:hAnsi="Calibri" w:cs="Calibri"/>
              </w:rPr>
            </w:pPr>
            <w:r w:rsidRPr="00524EF1">
              <w:rPr>
                <w:rFonts w:ascii="Calibri" w:hAnsi="Calibri" w:cs="Calibri"/>
              </w:rPr>
              <w:t>Están disponibles las hojas de datos de seguridad de materiales (MSDS) para el GNL entregado.</w:t>
            </w:r>
          </w:p>
          <w:p w14:paraId="7FA3837C"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Material Safety Data Sheets (MSDS) for the delivered LNG fuel are available</w:t>
            </w:r>
          </w:p>
        </w:tc>
        <w:tc>
          <w:tcPr>
            <w:tcW w:w="873" w:type="dxa"/>
          </w:tcPr>
          <w:p w14:paraId="3EF83012" w14:textId="77777777" w:rsidR="00211AE2" w:rsidRPr="00524EF1" w:rsidRDefault="00211AE2" w:rsidP="00BC6B7C">
            <w:pPr>
              <w:jc w:val="center"/>
              <w:rPr>
                <w:rFonts w:ascii="Calibri" w:hAnsi="Calibri" w:cs="Calibri"/>
                <w:bCs/>
                <w:lang w:val="en-US"/>
              </w:rPr>
            </w:pPr>
          </w:p>
        </w:tc>
        <w:tc>
          <w:tcPr>
            <w:tcW w:w="857" w:type="dxa"/>
          </w:tcPr>
          <w:p w14:paraId="5258FE7A" w14:textId="77777777" w:rsidR="00211AE2" w:rsidRPr="00524EF1" w:rsidRDefault="00211AE2" w:rsidP="00BC6B7C">
            <w:pPr>
              <w:jc w:val="center"/>
              <w:rPr>
                <w:rFonts w:ascii="Calibri" w:hAnsi="Calibri" w:cs="Calibri"/>
                <w:bCs/>
                <w:lang w:val="en-US"/>
              </w:rPr>
            </w:pPr>
          </w:p>
        </w:tc>
        <w:tc>
          <w:tcPr>
            <w:tcW w:w="2421" w:type="dxa"/>
          </w:tcPr>
          <w:p w14:paraId="3B27634A" w14:textId="77777777" w:rsidR="00211AE2" w:rsidRPr="00524EF1" w:rsidRDefault="00211AE2" w:rsidP="00BC6B7C">
            <w:pPr>
              <w:jc w:val="center"/>
              <w:rPr>
                <w:rFonts w:ascii="Calibri" w:hAnsi="Calibri" w:cs="Calibri"/>
                <w:lang w:val="en-US"/>
              </w:rPr>
            </w:pPr>
          </w:p>
        </w:tc>
      </w:tr>
      <w:tr w:rsidR="00211AE2" w:rsidRPr="00450A01" w14:paraId="5F60855A" w14:textId="77777777" w:rsidTr="00BC6B7C">
        <w:trPr>
          <w:trHeight w:val="540"/>
        </w:trPr>
        <w:tc>
          <w:tcPr>
            <w:tcW w:w="655" w:type="dxa"/>
            <w:vAlign w:val="center"/>
          </w:tcPr>
          <w:p w14:paraId="6361B72C" w14:textId="77777777" w:rsidR="00211AE2" w:rsidRPr="00524EF1" w:rsidRDefault="00211AE2" w:rsidP="00BC6B7C">
            <w:pPr>
              <w:jc w:val="center"/>
              <w:rPr>
                <w:rFonts w:ascii="Calibri" w:hAnsi="Calibri" w:cs="Calibri"/>
              </w:rPr>
            </w:pPr>
            <w:r w:rsidRPr="00524EF1">
              <w:rPr>
                <w:rFonts w:ascii="Calibri" w:hAnsi="Calibri" w:cs="Calibri"/>
              </w:rPr>
              <w:t>35</w:t>
            </w:r>
          </w:p>
        </w:tc>
        <w:tc>
          <w:tcPr>
            <w:tcW w:w="4496" w:type="dxa"/>
          </w:tcPr>
          <w:p w14:paraId="36BCEF39" w14:textId="77777777" w:rsidR="00211AE2" w:rsidRPr="00524EF1" w:rsidRDefault="00211AE2" w:rsidP="00BC6B7C">
            <w:pPr>
              <w:rPr>
                <w:rFonts w:ascii="Calibri" w:hAnsi="Calibri" w:cs="Calibri"/>
              </w:rPr>
            </w:pPr>
            <w:r w:rsidRPr="00524EF1">
              <w:rPr>
                <w:rFonts w:ascii="Calibri" w:hAnsi="Calibri" w:cs="Calibri"/>
              </w:rPr>
              <w:t>Se vigila el cumplimiento de las restricciones en materia de fuentes de ignición.</w:t>
            </w:r>
          </w:p>
          <w:p w14:paraId="09322830"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Regulations with regards to ignition sources are observed</w:t>
            </w:r>
          </w:p>
        </w:tc>
        <w:tc>
          <w:tcPr>
            <w:tcW w:w="873" w:type="dxa"/>
          </w:tcPr>
          <w:p w14:paraId="643C820B" w14:textId="77777777" w:rsidR="00211AE2" w:rsidRPr="00524EF1" w:rsidRDefault="00211AE2" w:rsidP="00BC6B7C">
            <w:pPr>
              <w:jc w:val="center"/>
              <w:rPr>
                <w:rFonts w:ascii="Calibri" w:hAnsi="Calibri" w:cs="Calibri"/>
                <w:bCs/>
                <w:lang w:val="en-US"/>
              </w:rPr>
            </w:pPr>
          </w:p>
        </w:tc>
        <w:tc>
          <w:tcPr>
            <w:tcW w:w="857" w:type="dxa"/>
          </w:tcPr>
          <w:p w14:paraId="0055BA37" w14:textId="77777777" w:rsidR="00211AE2" w:rsidRPr="00524EF1" w:rsidRDefault="00211AE2" w:rsidP="00BC6B7C">
            <w:pPr>
              <w:jc w:val="center"/>
              <w:rPr>
                <w:rFonts w:ascii="Calibri" w:hAnsi="Calibri" w:cs="Calibri"/>
                <w:bCs/>
                <w:lang w:val="en-US"/>
              </w:rPr>
            </w:pPr>
          </w:p>
        </w:tc>
        <w:tc>
          <w:tcPr>
            <w:tcW w:w="2421" w:type="dxa"/>
          </w:tcPr>
          <w:p w14:paraId="73D577C4" w14:textId="77777777" w:rsidR="00211AE2" w:rsidRPr="00524EF1" w:rsidRDefault="00211AE2" w:rsidP="00BC6B7C">
            <w:pPr>
              <w:jc w:val="center"/>
              <w:rPr>
                <w:rFonts w:ascii="Calibri" w:hAnsi="Calibri" w:cs="Calibri"/>
                <w:lang w:val="en-US"/>
              </w:rPr>
            </w:pPr>
          </w:p>
        </w:tc>
      </w:tr>
      <w:tr w:rsidR="00211AE2" w:rsidRPr="00450A01" w14:paraId="43DE3E33" w14:textId="77777777" w:rsidTr="00BC6B7C">
        <w:trPr>
          <w:trHeight w:val="540"/>
        </w:trPr>
        <w:tc>
          <w:tcPr>
            <w:tcW w:w="655" w:type="dxa"/>
            <w:vAlign w:val="center"/>
          </w:tcPr>
          <w:p w14:paraId="14E8AC2F" w14:textId="77777777" w:rsidR="00211AE2" w:rsidRPr="00524EF1" w:rsidRDefault="00211AE2" w:rsidP="00BC6B7C">
            <w:pPr>
              <w:jc w:val="center"/>
              <w:rPr>
                <w:rFonts w:ascii="Calibri" w:hAnsi="Calibri" w:cs="Calibri"/>
              </w:rPr>
            </w:pPr>
            <w:r w:rsidRPr="00524EF1">
              <w:rPr>
                <w:rFonts w:ascii="Calibri" w:hAnsi="Calibri" w:cs="Calibri"/>
              </w:rPr>
              <w:t>36</w:t>
            </w:r>
          </w:p>
        </w:tc>
        <w:tc>
          <w:tcPr>
            <w:tcW w:w="4496" w:type="dxa"/>
          </w:tcPr>
          <w:p w14:paraId="3D223C6C" w14:textId="77777777" w:rsidR="00211AE2" w:rsidRPr="00524EF1" w:rsidRDefault="00211AE2" w:rsidP="00BC6B7C">
            <w:pPr>
              <w:rPr>
                <w:rFonts w:ascii="Calibri" w:hAnsi="Calibri" w:cs="Calibri"/>
              </w:rPr>
            </w:pPr>
            <w:r w:rsidRPr="00524EF1">
              <w:rPr>
                <w:rFonts w:ascii="Calibri" w:hAnsi="Calibri" w:cs="Calibri"/>
              </w:rPr>
              <w:t>La ropa y el equipo de protección son adecuados y suficientes y están disponibles para su uso inmediato.</w:t>
            </w:r>
          </w:p>
          <w:p w14:paraId="6574E1A9"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Appropriate and sufficient suitable protective clothing and equipment is ready for immediate use.</w:t>
            </w:r>
          </w:p>
        </w:tc>
        <w:tc>
          <w:tcPr>
            <w:tcW w:w="873" w:type="dxa"/>
          </w:tcPr>
          <w:p w14:paraId="5001F5D9" w14:textId="77777777" w:rsidR="00211AE2" w:rsidRPr="00524EF1" w:rsidRDefault="00211AE2" w:rsidP="00BC6B7C">
            <w:pPr>
              <w:jc w:val="center"/>
              <w:rPr>
                <w:rFonts w:ascii="Calibri" w:hAnsi="Calibri" w:cs="Calibri"/>
                <w:bCs/>
                <w:lang w:val="en-US"/>
              </w:rPr>
            </w:pPr>
          </w:p>
        </w:tc>
        <w:tc>
          <w:tcPr>
            <w:tcW w:w="857" w:type="dxa"/>
          </w:tcPr>
          <w:p w14:paraId="76415D6C" w14:textId="77777777" w:rsidR="00211AE2" w:rsidRPr="00524EF1" w:rsidRDefault="00211AE2" w:rsidP="00BC6B7C">
            <w:pPr>
              <w:jc w:val="center"/>
              <w:rPr>
                <w:rFonts w:ascii="Calibri" w:hAnsi="Calibri" w:cs="Calibri"/>
                <w:bCs/>
                <w:lang w:val="en-US"/>
              </w:rPr>
            </w:pPr>
          </w:p>
        </w:tc>
        <w:tc>
          <w:tcPr>
            <w:tcW w:w="2421" w:type="dxa"/>
          </w:tcPr>
          <w:p w14:paraId="44A9DF09" w14:textId="77777777" w:rsidR="00211AE2" w:rsidRPr="00524EF1" w:rsidRDefault="00211AE2" w:rsidP="00BC6B7C">
            <w:pPr>
              <w:jc w:val="center"/>
              <w:rPr>
                <w:rFonts w:ascii="Calibri" w:hAnsi="Calibri" w:cs="Calibri"/>
                <w:lang w:val="en-US"/>
              </w:rPr>
            </w:pPr>
          </w:p>
        </w:tc>
      </w:tr>
      <w:tr w:rsidR="00211AE2" w:rsidRPr="00450A01" w14:paraId="327A3566" w14:textId="77777777" w:rsidTr="00BC6B7C">
        <w:trPr>
          <w:trHeight w:val="540"/>
        </w:trPr>
        <w:tc>
          <w:tcPr>
            <w:tcW w:w="655" w:type="dxa"/>
            <w:vAlign w:val="center"/>
          </w:tcPr>
          <w:p w14:paraId="400513E0" w14:textId="77777777" w:rsidR="00211AE2" w:rsidRPr="00524EF1" w:rsidRDefault="00211AE2" w:rsidP="00BC6B7C">
            <w:pPr>
              <w:jc w:val="center"/>
              <w:rPr>
                <w:rFonts w:ascii="Calibri" w:hAnsi="Calibri" w:cs="Calibri"/>
                <w:lang w:val="en-US"/>
              </w:rPr>
            </w:pPr>
            <w:r w:rsidRPr="00524EF1">
              <w:rPr>
                <w:rFonts w:ascii="Calibri" w:hAnsi="Calibri" w:cs="Calibri"/>
                <w:lang w:val="en-US"/>
              </w:rPr>
              <w:t>37</w:t>
            </w:r>
          </w:p>
        </w:tc>
        <w:tc>
          <w:tcPr>
            <w:tcW w:w="4496" w:type="dxa"/>
          </w:tcPr>
          <w:p w14:paraId="1DD8610D" w14:textId="77777777" w:rsidR="00211AE2" w:rsidRPr="00524EF1" w:rsidRDefault="00211AE2" w:rsidP="00BC6B7C">
            <w:pPr>
              <w:rPr>
                <w:rFonts w:ascii="Calibri" w:hAnsi="Calibri" w:cs="Calibri"/>
              </w:rPr>
            </w:pPr>
            <w:r w:rsidRPr="00524EF1">
              <w:rPr>
                <w:rFonts w:ascii="Calibri" w:hAnsi="Calibri" w:cs="Calibri"/>
              </w:rPr>
              <w:t xml:space="preserve">El personal involucrado en la conexión y desconexión de las mangueras y brazo de bunkering y el que se encuentra en las </w:t>
            </w:r>
            <w:r w:rsidRPr="00524EF1">
              <w:rPr>
                <w:rFonts w:ascii="Calibri" w:hAnsi="Calibri" w:cs="Calibri"/>
              </w:rPr>
              <w:lastRenderedPageBreak/>
              <w:t>inmediaciones de estas operaciones hace uso del apropiado equipo protector y ropa.</w:t>
            </w:r>
          </w:p>
          <w:p w14:paraId="1110000D"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Personnel involved in the connection and disconnection of the bunker hoses and arm and personnel in the direct vicinity of these operations make use of sufficient and appropriate protective clothing and equipment.</w:t>
            </w:r>
          </w:p>
        </w:tc>
        <w:tc>
          <w:tcPr>
            <w:tcW w:w="873" w:type="dxa"/>
          </w:tcPr>
          <w:p w14:paraId="2DDE9B69" w14:textId="77777777" w:rsidR="00211AE2" w:rsidRPr="00524EF1" w:rsidRDefault="00211AE2" w:rsidP="00BC6B7C">
            <w:pPr>
              <w:jc w:val="center"/>
              <w:rPr>
                <w:rFonts w:ascii="Calibri" w:hAnsi="Calibri" w:cs="Calibri"/>
                <w:bCs/>
                <w:lang w:val="en-US"/>
              </w:rPr>
            </w:pPr>
          </w:p>
        </w:tc>
        <w:tc>
          <w:tcPr>
            <w:tcW w:w="857" w:type="dxa"/>
          </w:tcPr>
          <w:p w14:paraId="4FFCD6D2" w14:textId="77777777" w:rsidR="00211AE2" w:rsidRPr="00524EF1" w:rsidRDefault="00211AE2" w:rsidP="00BC6B7C">
            <w:pPr>
              <w:jc w:val="center"/>
              <w:rPr>
                <w:rFonts w:ascii="Calibri" w:hAnsi="Calibri" w:cs="Calibri"/>
                <w:bCs/>
                <w:lang w:val="en-US"/>
              </w:rPr>
            </w:pPr>
          </w:p>
        </w:tc>
        <w:tc>
          <w:tcPr>
            <w:tcW w:w="2421" w:type="dxa"/>
          </w:tcPr>
          <w:p w14:paraId="31CA21AA" w14:textId="77777777" w:rsidR="00211AE2" w:rsidRPr="00524EF1" w:rsidRDefault="00211AE2" w:rsidP="00BC6B7C">
            <w:pPr>
              <w:jc w:val="center"/>
              <w:rPr>
                <w:rFonts w:ascii="Calibri" w:hAnsi="Calibri" w:cs="Calibri"/>
                <w:lang w:val="en-US"/>
              </w:rPr>
            </w:pPr>
          </w:p>
        </w:tc>
      </w:tr>
      <w:tr w:rsidR="00211AE2" w:rsidRPr="00524EF1" w14:paraId="1B1DCDDF" w14:textId="77777777" w:rsidTr="00BC6B7C">
        <w:trPr>
          <w:trHeight w:val="540"/>
        </w:trPr>
        <w:tc>
          <w:tcPr>
            <w:tcW w:w="655" w:type="dxa"/>
            <w:vAlign w:val="center"/>
          </w:tcPr>
          <w:p w14:paraId="155F5E34" w14:textId="77777777" w:rsidR="00211AE2" w:rsidRPr="00524EF1" w:rsidRDefault="00211AE2" w:rsidP="00BC6B7C">
            <w:pPr>
              <w:jc w:val="center"/>
              <w:rPr>
                <w:rFonts w:ascii="Calibri" w:hAnsi="Calibri" w:cs="Calibri"/>
                <w:lang w:val="en-US"/>
              </w:rPr>
            </w:pPr>
            <w:r w:rsidRPr="00524EF1">
              <w:rPr>
                <w:rFonts w:ascii="Calibri" w:hAnsi="Calibri" w:cs="Calibri"/>
                <w:lang w:val="en-US"/>
              </w:rPr>
              <w:t>38</w:t>
            </w:r>
          </w:p>
        </w:tc>
        <w:tc>
          <w:tcPr>
            <w:tcW w:w="4496" w:type="dxa"/>
          </w:tcPr>
          <w:p w14:paraId="06ADA3B2" w14:textId="77777777" w:rsidR="00211AE2" w:rsidRPr="00524EF1" w:rsidRDefault="00211AE2" w:rsidP="00BC6B7C">
            <w:pPr>
              <w:rPr>
                <w:rFonts w:ascii="Calibri" w:hAnsi="Calibri" w:cs="Calibri"/>
              </w:rPr>
            </w:pPr>
            <w:r w:rsidRPr="00524EF1">
              <w:rPr>
                <w:rFonts w:ascii="Calibri" w:hAnsi="Calibri" w:cs="Calibri"/>
              </w:rPr>
              <w:t>Se ha instalado un acoplamiento con liberación de emergencia (con alimentación) (P-ERC) y está listo para su uso inmediato.</w:t>
            </w:r>
          </w:p>
          <w:p w14:paraId="4E6D9CFC"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 (powered) emergency release coupling {(P)ERC} is installed and is ready for immediate use.</w:t>
            </w:r>
          </w:p>
        </w:tc>
        <w:tc>
          <w:tcPr>
            <w:tcW w:w="873" w:type="dxa"/>
          </w:tcPr>
          <w:p w14:paraId="5E2C47A9" w14:textId="77777777" w:rsidR="00211AE2" w:rsidRPr="00524EF1" w:rsidRDefault="00211AE2" w:rsidP="00BC6B7C">
            <w:pPr>
              <w:jc w:val="center"/>
              <w:rPr>
                <w:rFonts w:ascii="Calibri" w:hAnsi="Calibri" w:cs="Calibri"/>
                <w:bCs/>
                <w:lang w:val="en-US"/>
              </w:rPr>
            </w:pPr>
          </w:p>
        </w:tc>
        <w:tc>
          <w:tcPr>
            <w:tcW w:w="857" w:type="dxa"/>
          </w:tcPr>
          <w:p w14:paraId="63C60F9C" w14:textId="77777777" w:rsidR="00211AE2" w:rsidRPr="00524EF1" w:rsidRDefault="00211AE2" w:rsidP="00BC6B7C">
            <w:pPr>
              <w:jc w:val="center"/>
              <w:rPr>
                <w:rFonts w:ascii="Calibri" w:hAnsi="Calibri" w:cs="Calibri"/>
                <w:bCs/>
                <w:lang w:val="en-US"/>
              </w:rPr>
            </w:pPr>
          </w:p>
        </w:tc>
        <w:tc>
          <w:tcPr>
            <w:tcW w:w="2421" w:type="dxa"/>
          </w:tcPr>
          <w:p w14:paraId="4051BF1F" w14:textId="77777777" w:rsidR="00211AE2" w:rsidRPr="00524EF1" w:rsidRDefault="00211AE2" w:rsidP="00BC6B7C">
            <w:pPr>
              <w:rPr>
                <w:rFonts w:ascii="Calibri" w:hAnsi="Calibri" w:cs="Calibri"/>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450A01" w14:paraId="58A15E4D" w14:textId="77777777" w:rsidTr="00BC6B7C">
        <w:trPr>
          <w:trHeight w:val="540"/>
        </w:trPr>
        <w:tc>
          <w:tcPr>
            <w:tcW w:w="655" w:type="dxa"/>
            <w:vAlign w:val="center"/>
          </w:tcPr>
          <w:p w14:paraId="616FB409" w14:textId="77777777" w:rsidR="00211AE2" w:rsidRPr="00524EF1" w:rsidRDefault="00211AE2" w:rsidP="00BC6B7C">
            <w:pPr>
              <w:jc w:val="center"/>
              <w:rPr>
                <w:rFonts w:ascii="Calibri" w:hAnsi="Calibri" w:cs="Calibri"/>
              </w:rPr>
            </w:pPr>
            <w:r w:rsidRPr="00524EF1">
              <w:rPr>
                <w:rFonts w:ascii="Calibri" w:hAnsi="Calibri" w:cs="Calibri"/>
              </w:rPr>
              <w:t>39</w:t>
            </w:r>
          </w:p>
        </w:tc>
        <w:tc>
          <w:tcPr>
            <w:tcW w:w="4496" w:type="dxa"/>
          </w:tcPr>
          <w:p w14:paraId="155A96D0" w14:textId="77777777" w:rsidR="00211AE2" w:rsidRPr="00524EF1" w:rsidRDefault="00211AE2" w:rsidP="00BC6B7C">
            <w:pPr>
              <w:rPr>
                <w:rFonts w:ascii="Calibri" w:hAnsi="Calibri" w:cs="Calibri"/>
              </w:rPr>
            </w:pPr>
            <w:r w:rsidRPr="00524EF1">
              <w:rPr>
                <w:rFonts w:ascii="Calibri" w:hAnsi="Calibri" w:cs="Calibri"/>
              </w:rPr>
              <w:t>Los medios para la contención de derrames son de un material y volumen apropiados, se encuentran en la posición adecuada y vacíos.</w:t>
            </w:r>
          </w:p>
          <w:p w14:paraId="4F585F5C"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Spill containment arrangements are of an appropriate material and volume, in position, and empty.</w:t>
            </w:r>
          </w:p>
        </w:tc>
        <w:tc>
          <w:tcPr>
            <w:tcW w:w="873" w:type="dxa"/>
          </w:tcPr>
          <w:p w14:paraId="0C4F364D" w14:textId="77777777" w:rsidR="00211AE2" w:rsidRPr="00524EF1" w:rsidRDefault="00211AE2" w:rsidP="00BC6B7C">
            <w:pPr>
              <w:jc w:val="center"/>
              <w:rPr>
                <w:rFonts w:ascii="Calibri" w:hAnsi="Calibri" w:cs="Calibri"/>
                <w:bCs/>
                <w:lang w:val="en-US"/>
              </w:rPr>
            </w:pPr>
          </w:p>
        </w:tc>
        <w:tc>
          <w:tcPr>
            <w:tcW w:w="857" w:type="dxa"/>
          </w:tcPr>
          <w:p w14:paraId="55E2CE56" w14:textId="77777777" w:rsidR="00211AE2" w:rsidRPr="00524EF1" w:rsidRDefault="00211AE2" w:rsidP="00BC6B7C">
            <w:pPr>
              <w:jc w:val="center"/>
              <w:rPr>
                <w:rFonts w:ascii="Calibri" w:hAnsi="Calibri" w:cs="Calibri"/>
                <w:bCs/>
                <w:lang w:val="en-US"/>
              </w:rPr>
            </w:pPr>
          </w:p>
        </w:tc>
        <w:tc>
          <w:tcPr>
            <w:tcW w:w="2421" w:type="dxa"/>
          </w:tcPr>
          <w:p w14:paraId="79129314" w14:textId="77777777" w:rsidR="00211AE2" w:rsidRPr="00524EF1" w:rsidRDefault="00211AE2" w:rsidP="00BC6B7C">
            <w:pPr>
              <w:rPr>
                <w:rFonts w:ascii="Calibri" w:hAnsi="Calibri" w:cs="Calibri"/>
                <w:bCs/>
                <w:lang w:val="en-US"/>
              </w:rPr>
            </w:pPr>
          </w:p>
        </w:tc>
      </w:tr>
      <w:tr w:rsidR="00211AE2" w:rsidRPr="00524EF1" w14:paraId="6595CD24" w14:textId="77777777" w:rsidTr="00BC6B7C">
        <w:trPr>
          <w:trHeight w:val="540"/>
        </w:trPr>
        <w:tc>
          <w:tcPr>
            <w:tcW w:w="655" w:type="dxa"/>
            <w:vAlign w:val="center"/>
          </w:tcPr>
          <w:p w14:paraId="41AB8983" w14:textId="77777777" w:rsidR="00211AE2" w:rsidRPr="00524EF1" w:rsidRDefault="00211AE2" w:rsidP="00BC6B7C">
            <w:pPr>
              <w:jc w:val="center"/>
              <w:rPr>
                <w:rFonts w:ascii="Calibri" w:hAnsi="Calibri" w:cs="Calibri"/>
                <w:lang w:val="en-US"/>
              </w:rPr>
            </w:pPr>
            <w:r w:rsidRPr="00524EF1">
              <w:rPr>
                <w:rFonts w:ascii="Calibri" w:hAnsi="Calibri" w:cs="Calibri"/>
                <w:lang w:val="en-US"/>
              </w:rPr>
              <w:t>40</w:t>
            </w:r>
          </w:p>
        </w:tc>
        <w:tc>
          <w:tcPr>
            <w:tcW w:w="4496" w:type="dxa"/>
          </w:tcPr>
          <w:p w14:paraId="6CC742C0" w14:textId="77777777" w:rsidR="00211AE2" w:rsidRPr="00524EF1" w:rsidRDefault="00211AE2" w:rsidP="00BC6B7C">
            <w:pPr>
              <w:rPr>
                <w:rFonts w:ascii="Calibri" w:hAnsi="Calibri" w:cs="Calibri"/>
              </w:rPr>
            </w:pPr>
            <w:r w:rsidRPr="00524EF1">
              <w:rPr>
                <w:rFonts w:ascii="Calibri" w:hAnsi="Calibri" w:cs="Calibri"/>
              </w:rPr>
              <w:t>La protección criogénica del casco y la cubierta está colocada en su lugar.</w:t>
            </w:r>
          </w:p>
          <w:p w14:paraId="3358A9A0"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hull and deck protection against low temperature is in place.</w:t>
            </w:r>
          </w:p>
        </w:tc>
        <w:tc>
          <w:tcPr>
            <w:tcW w:w="873" w:type="dxa"/>
          </w:tcPr>
          <w:p w14:paraId="6B702BED" w14:textId="77777777" w:rsidR="00211AE2" w:rsidRPr="00524EF1" w:rsidRDefault="00211AE2" w:rsidP="00BC6B7C">
            <w:pPr>
              <w:jc w:val="center"/>
              <w:rPr>
                <w:rFonts w:ascii="Calibri" w:hAnsi="Calibri" w:cs="Calibri"/>
                <w:bCs/>
                <w:lang w:val="en-US"/>
              </w:rPr>
            </w:pPr>
          </w:p>
        </w:tc>
        <w:tc>
          <w:tcPr>
            <w:tcW w:w="857" w:type="dxa"/>
          </w:tcPr>
          <w:p w14:paraId="495203E8" w14:textId="77777777" w:rsidR="00211AE2" w:rsidRPr="00524EF1" w:rsidRDefault="00211AE2" w:rsidP="00BC6B7C">
            <w:pPr>
              <w:jc w:val="center"/>
              <w:rPr>
                <w:rFonts w:ascii="Calibri" w:hAnsi="Calibri" w:cs="Calibri"/>
                <w:bCs/>
                <w:lang w:val="en-US"/>
              </w:rPr>
            </w:pPr>
          </w:p>
        </w:tc>
        <w:tc>
          <w:tcPr>
            <w:tcW w:w="2421" w:type="dxa"/>
          </w:tcPr>
          <w:p w14:paraId="6A6CA8D4" w14:textId="77777777" w:rsidR="00211AE2" w:rsidRPr="00524EF1" w:rsidRDefault="00211AE2" w:rsidP="00BC6B7C">
            <w:pPr>
              <w:rPr>
                <w:rFonts w:ascii="Calibri" w:hAnsi="Calibri" w:cs="Calibri"/>
                <w:bCs/>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524EF1" w14:paraId="35CAEE48" w14:textId="77777777" w:rsidTr="00BC6B7C">
        <w:trPr>
          <w:trHeight w:val="540"/>
        </w:trPr>
        <w:tc>
          <w:tcPr>
            <w:tcW w:w="655" w:type="dxa"/>
            <w:vAlign w:val="center"/>
          </w:tcPr>
          <w:p w14:paraId="3EEBCF25" w14:textId="77777777" w:rsidR="00211AE2" w:rsidRPr="00524EF1" w:rsidRDefault="00211AE2" w:rsidP="00BC6B7C">
            <w:pPr>
              <w:jc w:val="center"/>
              <w:rPr>
                <w:rFonts w:ascii="Calibri" w:hAnsi="Calibri" w:cs="Calibri"/>
              </w:rPr>
            </w:pPr>
            <w:r w:rsidRPr="00524EF1">
              <w:rPr>
                <w:rFonts w:ascii="Calibri" w:hAnsi="Calibri" w:cs="Calibri"/>
              </w:rPr>
              <w:t>41</w:t>
            </w:r>
          </w:p>
        </w:tc>
        <w:tc>
          <w:tcPr>
            <w:tcW w:w="4496" w:type="dxa"/>
          </w:tcPr>
          <w:p w14:paraId="77769BF3" w14:textId="77777777" w:rsidR="00211AE2" w:rsidRPr="00524EF1" w:rsidRDefault="00211AE2" w:rsidP="00BC6B7C">
            <w:pPr>
              <w:rPr>
                <w:rFonts w:ascii="Calibri" w:hAnsi="Calibri" w:cs="Calibri"/>
              </w:rPr>
            </w:pPr>
            <w:r w:rsidRPr="00524EF1">
              <w:rPr>
                <w:rFonts w:ascii="Calibri" w:hAnsi="Calibri" w:cs="Calibri"/>
              </w:rPr>
              <w:t>Las bombas y compresores están en buen estado de funcionamiento.</w:t>
            </w:r>
          </w:p>
          <w:p w14:paraId="1C49AD7E" w14:textId="77777777" w:rsidR="00211AE2" w:rsidRPr="00524EF1" w:rsidRDefault="00211AE2" w:rsidP="00BC6B7C">
            <w:pPr>
              <w:rPr>
                <w:rFonts w:ascii="Calibri" w:hAnsi="Calibri" w:cs="Calibri"/>
                <w:lang w:val="en-US"/>
              </w:rPr>
            </w:pPr>
            <w:r w:rsidRPr="00524EF1">
              <w:rPr>
                <w:rFonts w:ascii="Calibri" w:hAnsi="Calibri" w:cs="Calibri"/>
                <w:lang w:val="en-US"/>
              </w:rPr>
              <w:t>Bunker pumps and compressors are in good working order.</w:t>
            </w:r>
          </w:p>
        </w:tc>
        <w:tc>
          <w:tcPr>
            <w:tcW w:w="873" w:type="dxa"/>
          </w:tcPr>
          <w:p w14:paraId="51918A1F" w14:textId="77777777" w:rsidR="00211AE2" w:rsidRPr="00524EF1" w:rsidRDefault="00211AE2" w:rsidP="00BC6B7C">
            <w:pPr>
              <w:jc w:val="center"/>
              <w:rPr>
                <w:rFonts w:ascii="Calibri" w:hAnsi="Calibri" w:cs="Calibri"/>
                <w:bCs/>
                <w:lang w:val="en-US"/>
              </w:rPr>
            </w:pPr>
          </w:p>
        </w:tc>
        <w:tc>
          <w:tcPr>
            <w:tcW w:w="857" w:type="dxa"/>
          </w:tcPr>
          <w:p w14:paraId="576CAED0" w14:textId="77777777" w:rsidR="00211AE2" w:rsidRPr="00524EF1" w:rsidRDefault="00211AE2" w:rsidP="00BC6B7C">
            <w:pPr>
              <w:jc w:val="center"/>
              <w:rPr>
                <w:rFonts w:ascii="Calibri" w:hAnsi="Calibri" w:cs="Calibri"/>
                <w:bCs/>
                <w:lang w:val="en-US"/>
              </w:rPr>
            </w:pPr>
          </w:p>
        </w:tc>
        <w:tc>
          <w:tcPr>
            <w:tcW w:w="2421" w:type="dxa"/>
          </w:tcPr>
          <w:p w14:paraId="7F7B3C72" w14:textId="77777777" w:rsidR="00211AE2" w:rsidRPr="00524EF1" w:rsidRDefault="00211AE2" w:rsidP="00BC6B7C">
            <w:pPr>
              <w:rPr>
                <w:rFonts w:ascii="Calibri" w:hAnsi="Calibri" w:cs="Calibri"/>
                <w:bCs/>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450A01" w14:paraId="098D9986" w14:textId="77777777" w:rsidTr="00BC6B7C">
        <w:trPr>
          <w:trHeight w:val="540"/>
        </w:trPr>
        <w:tc>
          <w:tcPr>
            <w:tcW w:w="655" w:type="dxa"/>
            <w:vAlign w:val="center"/>
          </w:tcPr>
          <w:p w14:paraId="45240637" w14:textId="77777777" w:rsidR="00211AE2" w:rsidRPr="00524EF1" w:rsidRDefault="00211AE2" w:rsidP="00BC6B7C">
            <w:pPr>
              <w:jc w:val="center"/>
              <w:rPr>
                <w:rFonts w:ascii="Calibri" w:hAnsi="Calibri" w:cs="Calibri"/>
              </w:rPr>
            </w:pPr>
            <w:r w:rsidRPr="00524EF1">
              <w:rPr>
                <w:rFonts w:ascii="Calibri" w:hAnsi="Calibri" w:cs="Calibri"/>
              </w:rPr>
              <w:t>42</w:t>
            </w:r>
          </w:p>
        </w:tc>
        <w:tc>
          <w:tcPr>
            <w:tcW w:w="4496" w:type="dxa"/>
          </w:tcPr>
          <w:p w14:paraId="120F3F74" w14:textId="77777777" w:rsidR="00211AE2" w:rsidRPr="00524EF1" w:rsidRDefault="00211AE2" w:rsidP="00BC6B7C">
            <w:pPr>
              <w:rPr>
                <w:rFonts w:ascii="Calibri" w:hAnsi="Calibri" w:cs="Calibri"/>
              </w:rPr>
            </w:pPr>
            <w:r w:rsidRPr="00524EF1">
              <w:rPr>
                <w:rFonts w:ascii="Calibri" w:hAnsi="Calibri" w:cs="Calibri"/>
              </w:rPr>
              <w:t>Todas las válvulas de control están bien mantenidas y en buen estado de funcionamiento.</w:t>
            </w:r>
          </w:p>
          <w:p w14:paraId="6E0205F3"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All control valves are well maintained and in good working order</w:t>
            </w:r>
          </w:p>
        </w:tc>
        <w:tc>
          <w:tcPr>
            <w:tcW w:w="873" w:type="dxa"/>
          </w:tcPr>
          <w:p w14:paraId="5EAB400C" w14:textId="77777777" w:rsidR="00211AE2" w:rsidRPr="00524EF1" w:rsidRDefault="00211AE2" w:rsidP="00BC6B7C">
            <w:pPr>
              <w:jc w:val="center"/>
              <w:rPr>
                <w:rFonts w:ascii="Calibri" w:hAnsi="Calibri" w:cs="Calibri"/>
                <w:bCs/>
                <w:lang w:val="en-US"/>
              </w:rPr>
            </w:pPr>
          </w:p>
        </w:tc>
        <w:tc>
          <w:tcPr>
            <w:tcW w:w="857" w:type="dxa"/>
          </w:tcPr>
          <w:p w14:paraId="6AC50777" w14:textId="77777777" w:rsidR="00211AE2" w:rsidRPr="00524EF1" w:rsidRDefault="00211AE2" w:rsidP="00BC6B7C">
            <w:pPr>
              <w:jc w:val="center"/>
              <w:rPr>
                <w:rFonts w:ascii="Calibri" w:hAnsi="Calibri" w:cs="Calibri"/>
                <w:bCs/>
                <w:lang w:val="en-US"/>
              </w:rPr>
            </w:pPr>
          </w:p>
        </w:tc>
        <w:tc>
          <w:tcPr>
            <w:tcW w:w="2421" w:type="dxa"/>
          </w:tcPr>
          <w:p w14:paraId="23BC4AC8" w14:textId="77777777" w:rsidR="00211AE2" w:rsidRPr="00524EF1" w:rsidRDefault="00211AE2" w:rsidP="00BC6B7C">
            <w:pPr>
              <w:jc w:val="center"/>
              <w:rPr>
                <w:rFonts w:ascii="Calibri" w:hAnsi="Calibri" w:cs="Calibri"/>
                <w:bCs/>
                <w:lang w:val="en-US"/>
              </w:rPr>
            </w:pPr>
          </w:p>
        </w:tc>
      </w:tr>
      <w:tr w:rsidR="00211AE2" w:rsidRPr="00450A01" w14:paraId="65B80081" w14:textId="77777777" w:rsidTr="00BC6B7C">
        <w:trPr>
          <w:trHeight w:val="540"/>
        </w:trPr>
        <w:tc>
          <w:tcPr>
            <w:tcW w:w="655" w:type="dxa"/>
            <w:vAlign w:val="center"/>
          </w:tcPr>
          <w:p w14:paraId="18476C5E" w14:textId="77777777" w:rsidR="00211AE2" w:rsidRPr="00524EF1" w:rsidRDefault="00211AE2" w:rsidP="00BC6B7C">
            <w:pPr>
              <w:jc w:val="center"/>
              <w:rPr>
                <w:rFonts w:ascii="Calibri" w:hAnsi="Calibri" w:cs="Calibri"/>
                <w:lang w:val="en-US"/>
              </w:rPr>
            </w:pPr>
            <w:r w:rsidRPr="00524EF1">
              <w:rPr>
                <w:rFonts w:ascii="Calibri" w:hAnsi="Calibri" w:cs="Calibri"/>
                <w:lang w:val="en-US"/>
              </w:rPr>
              <w:t>43</w:t>
            </w:r>
          </w:p>
        </w:tc>
        <w:tc>
          <w:tcPr>
            <w:tcW w:w="4496" w:type="dxa"/>
          </w:tcPr>
          <w:p w14:paraId="07151EF4" w14:textId="77777777" w:rsidR="00211AE2" w:rsidRPr="00524EF1" w:rsidRDefault="00211AE2" w:rsidP="00BC6B7C">
            <w:pPr>
              <w:rPr>
                <w:rFonts w:ascii="Calibri" w:hAnsi="Calibri" w:cs="Calibri"/>
              </w:rPr>
            </w:pPr>
            <w:r w:rsidRPr="00524EF1">
              <w:rPr>
                <w:rFonts w:ascii="Calibri" w:hAnsi="Calibri" w:cs="Calibri"/>
              </w:rPr>
              <w:t>Los indicadores del sistema de bunkering, las alarmas de nivel alto y las alarmas de presión alta están operativos, están correctamente configurados y en buen estado de funcionamiento.</w:t>
            </w:r>
          </w:p>
          <w:p w14:paraId="50513116" w14:textId="77777777" w:rsidR="00211AE2" w:rsidRPr="00524EF1" w:rsidRDefault="00211AE2" w:rsidP="00BC6B7C">
            <w:pPr>
              <w:rPr>
                <w:rFonts w:ascii="Calibri" w:hAnsi="Calibri" w:cs="Calibri"/>
                <w:i/>
                <w:iCs/>
                <w:lang w:val="en-US"/>
              </w:rPr>
            </w:pPr>
            <w:r w:rsidRPr="00524EF1">
              <w:rPr>
                <w:rFonts w:ascii="Calibri" w:hAnsi="Calibri" w:cs="Calibri"/>
                <w:i/>
                <w:iCs/>
                <w:lang w:val="en-US"/>
              </w:rPr>
              <w:lastRenderedPageBreak/>
              <w:t>Bunker system gauges, high level alarms and high-pressure alarms are operational, correctly set and in good working order</w:t>
            </w:r>
          </w:p>
        </w:tc>
        <w:tc>
          <w:tcPr>
            <w:tcW w:w="873" w:type="dxa"/>
          </w:tcPr>
          <w:p w14:paraId="55D4E68B" w14:textId="77777777" w:rsidR="00211AE2" w:rsidRPr="00524EF1" w:rsidRDefault="00211AE2" w:rsidP="00BC6B7C">
            <w:pPr>
              <w:jc w:val="center"/>
              <w:rPr>
                <w:rFonts w:ascii="Calibri" w:hAnsi="Calibri" w:cs="Calibri"/>
                <w:bCs/>
                <w:lang w:val="en-US"/>
              </w:rPr>
            </w:pPr>
          </w:p>
        </w:tc>
        <w:tc>
          <w:tcPr>
            <w:tcW w:w="857" w:type="dxa"/>
          </w:tcPr>
          <w:p w14:paraId="639D3C42" w14:textId="77777777" w:rsidR="00211AE2" w:rsidRPr="00524EF1" w:rsidRDefault="00211AE2" w:rsidP="00BC6B7C">
            <w:pPr>
              <w:jc w:val="center"/>
              <w:rPr>
                <w:rFonts w:ascii="Calibri" w:hAnsi="Calibri" w:cs="Calibri"/>
                <w:bCs/>
                <w:lang w:val="en-US"/>
              </w:rPr>
            </w:pPr>
          </w:p>
        </w:tc>
        <w:tc>
          <w:tcPr>
            <w:tcW w:w="2421" w:type="dxa"/>
          </w:tcPr>
          <w:p w14:paraId="221DA10C" w14:textId="77777777" w:rsidR="00211AE2" w:rsidRPr="00524EF1" w:rsidRDefault="00211AE2" w:rsidP="00BC6B7C">
            <w:pPr>
              <w:jc w:val="center"/>
              <w:rPr>
                <w:rFonts w:ascii="Calibri" w:hAnsi="Calibri" w:cs="Calibri"/>
                <w:bCs/>
                <w:lang w:val="en-US"/>
              </w:rPr>
            </w:pPr>
          </w:p>
        </w:tc>
      </w:tr>
      <w:tr w:rsidR="00211AE2" w:rsidRPr="00524EF1" w14:paraId="03E5FE29" w14:textId="77777777" w:rsidTr="00BC6B7C">
        <w:trPr>
          <w:trHeight w:val="540"/>
        </w:trPr>
        <w:tc>
          <w:tcPr>
            <w:tcW w:w="655" w:type="dxa"/>
            <w:vAlign w:val="center"/>
          </w:tcPr>
          <w:p w14:paraId="5EF84913" w14:textId="77777777" w:rsidR="00211AE2" w:rsidRPr="00524EF1" w:rsidRDefault="00211AE2" w:rsidP="00BC6B7C">
            <w:pPr>
              <w:jc w:val="center"/>
              <w:rPr>
                <w:rFonts w:ascii="Calibri" w:hAnsi="Calibri" w:cs="Calibri"/>
                <w:lang w:val="en-US"/>
              </w:rPr>
            </w:pPr>
            <w:r w:rsidRPr="00524EF1">
              <w:rPr>
                <w:rFonts w:ascii="Calibri" w:hAnsi="Calibri" w:cs="Calibri"/>
                <w:lang w:val="en-US"/>
              </w:rPr>
              <w:t>44</w:t>
            </w:r>
          </w:p>
        </w:tc>
        <w:tc>
          <w:tcPr>
            <w:tcW w:w="4496" w:type="dxa"/>
          </w:tcPr>
          <w:p w14:paraId="76185389" w14:textId="77777777" w:rsidR="00211AE2" w:rsidRPr="00524EF1" w:rsidRDefault="00211AE2" w:rsidP="00BC6B7C">
            <w:pPr>
              <w:rPr>
                <w:rFonts w:ascii="Calibri" w:hAnsi="Calibri" w:cs="Calibri"/>
              </w:rPr>
            </w:pPr>
            <w:r w:rsidRPr="00524EF1">
              <w:rPr>
                <w:rFonts w:ascii="Calibri" w:hAnsi="Calibri" w:cs="Calibri"/>
              </w:rPr>
              <w:t>Los tanques de combustible del barco están protegidos en todo momento contra el llenado excesivo involuntario, el contenido del tanque se monitoriza constantemente y las alarmas se configuran correctamente.</w:t>
            </w:r>
          </w:p>
          <w:p w14:paraId="1E49B5B8"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ship’s bunker tanks are protected against inadvertent overfilling at all times, tank content is constantly monitored and alarms are correctly set</w:t>
            </w:r>
          </w:p>
        </w:tc>
        <w:tc>
          <w:tcPr>
            <w:tcW w:w="873" w:type="dxa"/>
          </w:tcPr>
          <w:p w14:paraId="0CCD0C91" w14:textId="77777777" w:rsidR="00211AE2" w:rsidRPr="00524EF1" w:rsidRDefault="00211AE2" w:rsidP="00BC6B7C">
            <w:pPr>
              <w:jc w:val="center"/>
              <w:rPr>
                <w:rFonts w:ascii="Calibri" w:hAnsi="Calibri" w:cs="Calibri"/>
                <w:bCs/>
                <w:lang w:val="en-US"/>
              </w:rPr>
            </w:pPr>
          </w:p>
        </w:tc>
        <w:tc>
          <w:tcPr>
            <w:tcW w:w="857" w:type="dxa"/>
          </w:tcPr>
          <w:p w14:paraId="3167DD69" w14:textId="77777777" w:rsidR="00211AE2" w:rsidRPr="00524EF1" w:rsidRDefault="00211AE2" w:rsidP="00BC6B7C">
            <w:pPr>
              <w:jc w:val="center"/>
              <w:rPr>
                <w:rFonts w:ascii="Calibri" w:hAnsi="Calibri" w:cs="Calibri"/>
                <w:bCs/>
                <w:lang w:val="en-US"/>
              </w:rPr>
            </w:pPr>
          </w:p>
        </w:tc>
        <w:tc>
          <w:tcPr>
            <w:tcW w:w="2421" w:type="dxa"/>
          </w:tcPr>
          <w:p w14:paraId="78A5CA9A" w14:textId="77777777" w:rsidR="00211AE2" w:rsidRPr="00524EF1" w:rsidRDefault="00211AE2" w:rsidP="00BC6B7C">
            <w:pPr>
              <w:jc w:val="center"/>
              <w:rPr>
                <w:rFonts w:ascii="Calibri" w:hAnsi="Calibri" w:cs="Calibri"/>
                <w:bCs/>
              </w:rPr>
            </w:pPr>
            <w:r w:rsidRPr="00524EF1">
              <w:rPr>
                <w:rFonts w:ascii="Calibri" w:hAnsi="Calibri" w:cs="Calibri"/>
                <w:bCs/>
              </w:rPr>
              <w:t xml:space="preserve">Intervalos que no exceden/ </w:t>
            </w:r>
            <w:r w:rsidRPr="00524EF1">
              <w:rPr>
                <w:rFonts w:ascii="Calibri" w:hAnsi="Calibri" w:cs="Calibri"/>
                <w:bCs/>
                <w:i/>
                <w:iCs/>
              </w:rPr>
              <w:t>Intervals not exeeding</w:t>
            </w:r>
          </w:p>
          <w:p w14:paraId="0B5A5E66" w14:textId="77777777" w:rsidR="00211AE2" w:rsidRPr="00524EF1" w:rsidRDefault="00211AE2" w:rsidP="00BC6B7C">
            <w:pPr>
              <w:jc w:val="center"/>
              <w:rPr>
                <w:rFonts w:ascii="Calibri" w:hAnsi="Calibri" w:cs="Calibri"/>
                <w:bCs/>
              </w:rPr>
            </w:pPr>
          </w:p>
          <w:p w14:paraId="24E42AA0" w14:textId="77777777" w:rsidR="00211AE2" w:rsidRPr="00524EF1" w:rsidRDefault="00211AE2" w:rsidP="00BC6B7C">
            <w:pPr>
              <w:jc w:val="center"/>
              <w:rPr>
                <w:rFonts w:ascii="Calibri" w:hAnsi="Calibri" w:cs="Calibri"/>
                <w:bCs/>
              </w:rPr>
            </w:pPr>
          </w:p>
          <w:p w14:paraId="6043FF1C" w14:textId="77777777" w:rsidR="00211AE2" w:rsidRPr="00524EF1" w:rsidRDefault="00211AE2" w:rsidP="00BC6B7C">
            <w:pPr>
              <w:jc w:val="center"/>
              <w:rPr>
                <w:rFonts w:ascii="Calibri" w:hAnsi="Calibri" w:cs="Calibri"/>
                <w:bCs/>
              </w:rPr>
            </w:pPr>
          </w:p>
          <w:p w14:paraId="2B9EBDD9" w14:textId="77777777" w:rsidR="00211AE2" w:rsidRPr="00524EF1" w:rsidRDefault="00211AE2" w:rsidP="00BC6B7C">
            <w:pPr>
              <w:jc w:val="center"/>
              <w:rPr>
                <w:rFonts w:ascii="Calibri" w:hAnsi="Calibri" w:cs="Calibri"/>
                <w:bCs/>
              </w:rPr>
            </w:pPr>
            <w:r w:rsidRPr="00524EF1">
              <w:rPr>
                <w:rFonts w:ascii="Calibri" w:hAnsi="Calibri" w:cs="Calibri"/>
                <w:bCs/>
              </w:rPr>
              <w:t>30 min</w:t>
            </w:r>
          </w:p>
        </w:tc>
      </w:tr>
      <w:tr w:rsidR="00211AE2" w:rsidRPr="00450A01" w14:paraId="4D68F927" w14:textId="77777777" w:rsidTr="00BC6B7C">
        <w:trPr>
          <w:trHeight w:val="540"/>
        </w:trPr>
        <w:tc>
          <w:tcPr>
            <w:tcW w:w="655" w:type="dxa"/>
            <w:vAlign w:val="center"/>
          </w:tcPr>
          <w:p w14:paraId="29541395" w14:textId="77777777" w:rsidR="00211AE2" w:rsidRPr="00524EF1" w:rsidRDefault="00211AE2" w:rsidP="00BC6B7C">
            <w:pPr>
              <w:jc w:val="center"/>
              <w:rPr>
                <w:rFonts w:ascii="Calibri" w:hAnsi="Calibri" w:cs="Calibri"/>
              </w:rPr>
            </w:pPr>
            <w:r w:rsidRPr="00524EF1">
              <w:rPr>
                <w:rFonts w:ascii="Calibri" w:hAnsi="Calibri" w:cs="Calibri"/>
              </w:rPr>
              <w:t>45</w:t>
            </w:r>
          </w:p>
        </w:tc>
        <w:tc>
          <w:tcPr>
            <w:tcW w:w="4496" w:type="dxa"/>
          </w:tcPr>
          <w:p w14:paraId="198006CF" w14:textId="77777777" w:rsidR="00211AE2" w:rsidRPr="00524EF1" w:rsidRDefault="00211AE2" w:rsidP="00BC6B7C">
            <w:pPr>
              <w:rPr>
                <w:rFonts w:ascii="Calibri" w:hAnsi="Calibri" w:cs="Calibri"/>
              </w:rPr>
            </w:pPr>
            <w:r w:rsidRPr="00524EF1">
              <w:rPr>
                <w:rFonts w:ascii="Calibri" w:hAnsi="Calibri" w:cs="Calibri"/>
              </w:rPr>
              <w:t>Todos los dispositivos de seguridad y control en las instalaciones de GNL se verifican, se prueban y se encuentran en buen estado de funcionamiento.</w:t>
            </w:r>
          </w:p>
          <w:p w14:paraId="5F91F835"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All safety and control devices on the LNG installations are checked, tested and found to be in good working order.</w:t>
            </w:r>
          </w:p>
        </w:tc>
        <w:tc>
          <w:tcPr>
            <w:tcW w:w="873" w:type="dxa"/>
          </w:tcPr>
          <w:p w14:paraId="7DEBEE41" w14:textId="77777777" w:rsidR="00211AE2" w:rsidRPr="00524EF1" w:rsidRDefault="00211AE2" w:rsidP="00BC6B7C">
            <w:pPr>
              <w:jc w:val="center"/>
              <w:rPr>
                <w:rFonts w:ascii="Calibri" w:hAnsi="Calibri" w:cs="Calibri"/>
                <w:bCs/>
                <w:lang w:val="en-US"/>
              </w:rPr>
            </w:pPr>
          </w:p>
        </w:tc>
        <w:tc>
          <w:tcPr>
            <w:tcW w:w="857" w:type="dxa"/>
          </w:tcPr>
          <w:p w14:paraId="5F202E1F" w14:textId="77777777" w:rsidR="00211AE2" w:rsidRPr="00524EF1" w:rsidRDefault="00211AE2" w:rsidP="00BC6B7C">
            <w:pPr>
              <w:jc w:val="center"/>
              <w:rPr>
                <w:rFonts w:ascii="Calibri" w:hAnsi="Calibri" w:cs="Calibri"/>
                <w:bCs/>
                <w:lang w:val="en-US"/>
              </w:rPr>
            </w:pPr>
          </w:p>
        </w:tc>
        <w:tc>
          <w:tcPr>
            <w:tcW w:w="2421" w:type="dxa"/>
          </w:tcPr>
          <w:p w14:paraId="70963480" w14:textId="77777777" w:rsidR="00211AE2" w:rsidRPr="00524EF1" w:rsidRDefault="00211AE2" w:rsidP="00BC6B7C">
            <w:pPr>
              <w:jc w:val="center"/>
              <w:rPr>
                <w:rFonts w:ascii="Calibri" w:hAnsi="Calibri" w:cs="Calibri"/>
                <w:bCs/>
                <w:lang w:val="en-US"/>
              </w:rPr>
            </w:pPr>
          </w:p>
        </w:tc>
      </w:tr>
      <w:tr w:rsidR="00211AE2" w:rsidRPr="00524EF1" w14:paraId="489C6BB4" w14:textId="77777777" w:rsidTr="00BC6B7C">
        <w:trPr>
          <w:trHeight w:val="540"/>
        </w:trPr>
        <w:tc>
          <w:tcPr>
            <w:tcW w:w="655" w:type="dxa"/>
            <w:vAlign w:val="center"/>
          </w:tcPr>
          <w:p w14:paraId="4F2B2150" w14:textId="77777777" w:rsidR="00211AE2" w:rsidRPr="00524EF1" w:rsidRDefault="00211AE2" w:rsidP="00BC6B7C">
            <w:pPr>
              <w:jc w:val="center"/>
              <w:rPr>
                <w:rFonts w:ascii="Calibri" w:hAnsi="Calibri" w:cs="Calibri"/>
                <w:lang w:val="en-US"/>
              </w:rPr>
            </w:pPr>
            <w:r w:rsidRPr="00524EF1">
              <w:rPr>
                <w:rFonts w:ascii="Calibri" w:hAnsi="Calibri" w:cs="Calibri"/>
                <w:lang w:val="en-US"/>
              </w:rPr>
              <w:t>46</w:t>
            </w:r>
          </w:p>
        </w:tc>
        <w:tc>
          <w:tcPr>
            <w:tcW w:w="4496" w:type="dxa"/>
          </w:tcPr>
          <w:p w14:paraId="44A9D33A" w14:textId="77777777" w:rsidR="00211AE2" w:rsidRPr="00524EF1" w:rsidRDefault="00211AE2" w:rsidP="00BC6B7C">
            <w:pPr>
              <w:rPr>
                <w:rFonts w:ascii="Calibri" w:hAnsi="Calibri" w:cs="Calibri"/>
              </w:rPr>
            </w:pPr>
            <w:r w:rsidRPr="00524EF1">
              <w:rPr>
                <w:rFonts w:ascii="Calibri" w:hAnsi="Calibri" w:cs="Calibri"/>
              </w:rPr>
              <w:t>El equipo de control de presión y el equipo de relicuación de boil-off (si existe) están operativos y en buen estado de funcionamiento.</w:t>
            </w:r>
          </w:p>
          <w:p w14:paraId="421937C1"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Pressure control equipment and boil off or reliquefaction equipment (if any) is operational and in good working order.</w:t>
            </w:r>
          </w:p>
        </w:tc>
        <w:tc>
          <w:tcPr>
            <w:tcW w:w="873" w:type="dxa"/>
          </w:tcPr>
          <w:p w14:paraId="5C7CBF3A" w14:textId="77777777" w:rsidR="00211AE2" w:rsidRPr="00524EF1" w:rsidRDefault="00211AE2" w:rsidP="00BC6B7C">
            <w:pPr>
              <w:jc w:val="center"/>
              <w:rPr>
                <w:rFonts w:ascii="Calibri" w:hAnsi="Calibri" w:cs="Calibri"/>
                <w:bCs/>
                <w:lang w:val="en-US"/>
              </w:rPr>
            </w:pPr>
          </w:p>
        </w:tc>
        <w:tc>
          <w:tcPr>
            <w:tcW w:w="857" w:type="dxa"/>
          </w:tcPr>
          <w:p w14:paraId="38C1054A" w14:textId="77777777" w:rsidR="00211AE2" w:rsidRPr="00524EF1" w:rsidRDefault="00211AE2" w:rsidP="00BC6B7C">
            <w:pPr>
              <w:jc w:val="center"/>
              <w:rPr>
                <w:rFonts w:ascii="Calibri" w:hAnsi="Calibri" w:cs="Calibri"/>
                <w:bCs/>
                <w:lang w:val="en-US"/>
              </w:rPr>
            </w:pPr>
          </w:p>
        </w:tc>
        <w:tc>
          <w:tcPr>
            <w:tcW w:w="2421" w:type="dxa"/>
          </w:tcPr>
          <w:p w14:paraId="5FF4ACF7" w14:textId="77777777" w:rsidR="00211AE2" w:rsidRPr="00524EF1" w:rsidRDefault="00211AE2" w:rsidP="00BC6B7C">
            <w:pPr>
              <w:rPr>
                <w:rFonts w:ascii="Calibri" w:hAnsi="Calibri" w:cs="Calibri"/>
                <w:bCs/>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524EF1" w14:paraId="2E390BC6" w14:textId="77777777" w:rsidTr="00BC6B7C">
        <w:trPr>
          <w:trHeight w:val="540"/>
        </w:trPr>
        <w:tc>
          <w:tcPr>
            <w:tcW w:w="655" w:type="dxa"/>
            <w:vAlign w:val="center"/>
          </w:tcPr>
          <w:p w14:paraId="33DCA86A" w14:textId="77777777" w:rsidR="00211AE2" w:rsidRPr="00524EF1" w:rsidRDefault="00211AE2" w:rsidP="00BC6B7C">
            <w:pPr>
              <w:jc w:val="center"/>
              <w:rPr>
                <w:rFonts w:ascii="Calibri" w:hAnsi="Calibri" w:cs="Calibri"/>
              </w:rPr>
            </w:pPr>
            <w:r w:rsidRPr="00524EF1">
              <w:rPr>
                <w:rFonts w:ascii="Calibri" w:hAnsi="Calibri" w:cs="Calibri"/>
              </w:rPr>
              <w:t>47</w:t>
            </w:r>
          </w:p>
        </w:tc>
        <w:tc>
          <w:tcPr>
            <w:tcW w:w="4496" w:type="dxa"/>
          </w:tcPr>
          <w:p w14:paraId="3335C40C" w14:textId="77777777" w:rsidR="00211AE2" w:rsidRPr="00524EF1" w:rsidRDefault="00211AE2" w:rsidP="00BC6B7C">
            <w:pPr>
              <w:rPr>
                <w:rFonts w:ascii="Calibri" w:hAnsi="Calibri" w:cs="Calibri"/>
              </w:rPr>
            </w:pPr>
            <w:r w:rsidRPr="00524EF1">
              <w:rPr>
                <w:rFonts w:ascii="Calibri" w:hAnsi="Calibri" w:cs="Calibri"/>
              </w:rPr>
              <w:t>Las conexiones de vapor están correctamente conectadas y soportadas.</w:t>
            </w:r>
          </w:p>
          <w:p w14:paraId="30AEDC86"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vapour connections are properly connected and supported.</w:t>
            </w:r>
          </w:p>
        </w:tc>
        <w:tc>
          <w:tcPr>
            <w:tcW w:w="873" w:type="dxa"/>
          </w:tcPr>
          <w:p w14:paraId="3F4EC431" w14:textId="77777777" w:rsidR="00211AE2" w:rsidRPr="00524EF1" w:rsidRDefault="00211AE2" w:rsidP="00BC6B7C">
            <w:pPr>
              <w:jc w:val="center"/>
              <w:rPr>
                <w:rFonts w:ascii="Calibri" w:hAnsi="Calibri" w:cs="Calibri"/>
                <w:bCs/>
                <w:lang w:val="en-US"/>
              </w:rPr>
            </w:pPr>
          </w:p>
        </w:tc>
        <w:tc>
          <w:tcPr>
            <w:tcW w:w="857" w:type="dxa"/>
          </w:tcPr>
          <w:p w14:paraId="4BC95887" w14:textId="77777777" w:rsidR="00211AE2" w:rsidRPr="00524EF1" w:rsidRDefault="00211AE2" w:rsidP="00BC6B7C">
            <w:pPr>
              <w:jc w:val="center"/>
              <w:rPr>
                <w:rFonts w:ascii="Calibri" w:hAnsi="Calibri" w:cs="Calibri"/>
                <w:bCs/>
                <w:lang w:val="en-US"/>
              </w:rPr>
            </w:pPr>
          </w:p>
        </w:tc>
        <w:tc>
          <w:tcPr>
            <w:tcW w:w="2421" w:type="dxa"/>
          </w:tcPr>
          <w:p w14:paraId="06560CE3" w14:textId="77777777" w:rsidR="00211AE2" w:rsidRPr="00524EF1" w:rsidRDefault="00211AE2" w:rsidP="00BC6B7C">
            <w:pPr>
              <w:rPr>
                <w:rFonts w:ascii="Calibri" w:hAnsi="Calibri" w:cs="Calibri"/>
                <w:bCs/>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524EF1" w14:paraId="34CD0451" w14:textId="77777777" w:rsidTr="00BC6B7C">
        <w:trPr>
          <w:trHeight w:val="540"/>
        </w:trPr>
        <w:tc>
          <w:tcPr>
            <w:tcW w:w="655" w:type="dxa"/>
            <w:vAlign w:val="center"/>
          </w:tcPr>
          <w:p w14:paraId="5D858451" w14:textId="77777777" w:rsidR="00211AE2" w:rsidRPr="00524EF1" w:rsidRDefault="00211AE2" w:rsidP="00BC6B7C">
            <w:pPr>
              <w:jc w:val="center"/>
              <w:rPr>
                <w:rFonts w:ascii="Calibri" w:hAnsi="Calibri" w:cs="Calibri"/>
              </w:rPr>
            </w:pPr>
            <w:r w:rsidRPr="00524EF1">
              <w:rPr>
                <w:rFonts w:ascii="Calibri" w:hAnsi="Calibri" w:cs="Calibri"/>
              </w:rPr>
              <w:t>48</w:t>
            </w:r>
          </w:p>
        </w:tc>
        <w:tc>
          <w:tcPr>
            <w:tcW w:w="4496" w:type="dxa"/>
          </w:tcPr>
          <w:p w14:paraId="66320C03" w14:textId="77777777" w:rsidR="00211AE2" w:rsidRPr="00524EF1" w:rsidRDefault="00211AE2" w:rsidP="00BC6B7C">
            <w:pPr>
              <w:rPr>
                <w:rFonts w:ascii="Calibri" w:hAnsi="Calibri" w:cs="Calibri"/>
              </w:rPr>
            </w:pPr>
            <w:r w:rsidRPr="00524EF1">
              <w:rPr>
                <w:rFonts w:ascii="Calibri" w:hAnsi="Calibri" w:cs="Calibri"/>
              </w:rPr>
              <w:t>Tanto en el barco como en tierra, el sistema ESD, las válvulas automáticas o dispositivos similares se han probado, se encuentran en buen estado de funcionamiento y están listas para su uso. Los dos sistemas ESD están vinculados. Los parámetros de cierre de los ESD se han intercambiado.</w:t>
            </w:r>
          </w:p>
          <w:p w14:paraId="2903C135"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 xml:space="preserve">Both on the ship and at the onshore terminal the ESDs, automatic valves or similar devices have been tested, have found to be in good working order, and are ready for use. The both ESD </w:t>
            </w:r>
            <w:r w:rsidRPr="00524EF1">
              <w:rPr>
                <w:rFonts w:ascii="Calibri" w:hAnsi="Calibri" w:cs="Calibri"/>
                <w:i/>
                <w:iCs/>
                <w:lang w:val="en-US"/>
              </w:rPr>
              <w:lastRenderedPageBreak/>
              <w:t>systems are linked. The closing rates of the ESDs have been exchanged.</w:t>
            </w:r>
          </w:p>
        </w:tc>
        <w:tc>
          <w:tcPr>
            <w:tcW w:w="873" w:type="dxa"/>
          </w:tcPr>
          <w:p w14:paraId="1017DA3C" w14:textId="77777777" w:rsidR="00211AE2" w:rsidRPr="00524EF1" w:rsidRDefault="00211AE2" w:rsidP="00BC6B7C">
            <w:pPr>
              <w:jc w:val="center"/>
              <w:rPr>
                <w:rFonts w:ascii="Calibri" w:hAnsi="Calibri" w:cs="Calibri"/>
                <w:bCs/>
                <w:lang w:val="en-US"/>
              </w:rPr>
            </w:pPr>
          </w:p>
        </w:tc>
        <w:tc>
          <w:tcPr>
            <w:tcW w:w="857" w:type="dxa"/>
          </w:tcPr>
          <w:p w14:paraId="7E1BEA50" w14:textId="77777777" w:rsidR="00211AE2" w:rsidRPr="00524EF1" w:rsidRDefault="00211AE2" w:rsidP="00BC6B7C">
            <w:pPr>
              <w:jc w:val="center"/>
              <w:rPr>
                <w:rFonts w:ascii="Calibri" w:hAnsi="Calibri" w:cs="Calibri"/>
                <w:bCs/>
                <w:lang w:val="en-US"/>
              </w:rPr>
            </w:pPr>
          </w:p>
        </w:tc>
        <w:tc>
          <w:tcPr>
            <w:tcW w:w="2421" w:type="dxa"/>
          </w:tcPr>
          <w:p w14:paraId="0FF8F9F3" w14:textId="77777777" w:rsidR="00211AE2" w:rsidRPr="00524EF1" w:rsidRDefault="00211AE2" w:rsidP="00BC6B7C">
            <w:pPr>
              <w:jc w:val="center"/>
              <w:rPr>
                <w:rFonts w:ascii="Calibri" w:hAnsi="Calibri" w:cs="Calibri"/>
                <w:bCs/>
              </w:rPr>
            </w:pPr>
            <w:r w:rsidRPr="00524EF1">
              <w:rPr>
                <w:rFonts w:ascii="Calibri" w:hAnsi="Calibri" w:cs="Calibri"/>
                <w:bCs/>
              </w:rPr>
              <w:t xml:space="preserve">ESD barco/ </w:t>
            </w:r>
            <w:r w:rsidRPr="00524EF1">
              <w:rPr>
                <w:rFonts w:ascii="Calibri" w:hAnsi="Calibri" w:cs="Calibri"/>
                <w:bCs/>
                <w:i/>
                <w:iCs/>
              </w:rPr>
              <w:t>ship</w:t>
            </w:r>
            <w:r w:rsidRPr="00524EF1">
              <w:rPr>
                <w:rFonts w:ascii="Calibri" w:hAnsi="Calibri" w:cs="Calibri"/>
                <w:bCs/>
              </w:rPr>
              <w:t>:</w:t>
            </w:r>
          </w:p>
          <w:p w14:paraId="5D998E8E" w14:textId="77777777" w:rsidR="00211AE2" w:rsidRPr="00524EF1" w:rsidRDefault="00211AE2" w:rsidP="00BC6B7C">
            <w:pPr>
              <w:jc w:val="center"/>
              <w:rPr>
                <w:rFonts w:ascii="Calibri" w:hAnsi="Calibri" w:cs="Calibri"/>
                <w:bCs/>
              </w:rPr>
            </w:pPr>
          </w:p>
          <w:p w14:paraId="66FECF06" w14:textId="77777777" w:rsidR="00211AE2" w:rsidRPr="00524EF1" w:rsidRDefault="00211AE2" w:rsidP="00BC6B7C">
            <w:pPr>
              <w:jc w:val="center"/>
              <w:rPr>
                <w:rFonts w:ascii="Calibri" w:hAnsi="Calibri" w:cs="Calibri"/>
                <w:bCs/>
              </w:rPr>
            </w:pPr>
          </w:p>
          <w:p w14:paraId="58591988" w14:textId="77777777" w:rsidR="00211AE2" w:rsidRPr="00524EF1" w:rsidRDefault="00211AE2" w:rsidP="00BC6B7C">
            <w:pPr>
              <w:jc w:val="center"/>
              <w:rPr>
                <w:rFonts w:ascii="Calibri" w:hAnsi="Calibri" w:cs="Calibri"/>
                <w:bCs/>
                <w:i/>
                <w:iCs/>
              </w:rPr>
            </w:pPr>
            <w:r w:rsidRPr="00524EF1">
              <w:rPr>
                <w:rFonts w:ascii="Calibri" w:hAnsi="Calibri" w:cs="Calibri"/>
                <w:bCs/>
              </w:rPr>
              <w:t xml:space="preserve">ESD terminal de GNL/ </w:t>
            </w:r>
            <w:r w:rsidRPr="00524EF1">
              <w:rPr>
                <w:rFonts w:ascii="Calibri" w:hAnsi="Calibri" w:cs="Calibri"/>
                <w:bCs/>
                <w:i/>
                <w:iCs/>
              </w:rPr>
              <w:t>LNG</w:t>
            </w:r>
          </w:p>
          <w:p w14:paraId="6D355603" w14:textId="77777777" w:rsidR="00211AE2" w:rsidRPr="00524EF1" w:rsidRDefault="00211AE2" w:rsidP="00BC6B7C">
            <w:pPr>
              <w:jc w:val="center"/>
              <w:rPr>
                <w:rFonts w:ascii="Calibri" w:hAnsi="Calibri" w:cs="Calibri"/>
                <w:bCs/>
                <w:lang w:val="en-US"/>
              </w:rPr>
            </w:pPr>
            <w:r w:rsidRPr="00524EF1">
              <w:rPr>
                <w:rFonts w:ascii="Calibri" w:hAnsi="Calibri" w:cs="Calibri"/>
                <w:bCs/>
                <w:i/>
                <w:iCs/>
                <w:lang w:val="en-US"/>
              </w:rPr>
              <w:t>bunker terminal</w:t>
            </w:r>
            <w:r w:rsidRPr="00524EF1">
              <w:rPr>
                <w:rFonts w:ascii="Calibri" w:hAnsi="Calibri" w:cs="Calibri"/>
                <w:bCs/>
                <w:lang w:val="en-US"/>
              </w:rPr>
              <w:t>:</w:t>
            </w:r>
          </w:p>
          <w:p w14:paraId="3231A89A" w14:textId="77777777" w:rsidR="00211AE2" w:rsidRPr="00524EF1" w:rsidRDefault="00211AE2" w:rsidP="00BC6B7C">
            <w:pPr>
              <w:jc w:val="center"/>
              <w:rPr>
                <w:rFonts w:ascii="Calibri" w:hAnsi="Calibri" w:cs="Calibri"/>
                <w:bCs/>
                <w:lang w:val="en-US"/>
              </w:rPr>
            </w:pPr>
          </w:p>
          <w:p w14:paraId="361DEAFF" w14:textId="77777777" w:rsidR="00211AE2" w:rsidRPr="00524EF1" w:rsidRDefault="00211AE2" w:rsidP="00BC6B7C">
            <w:pPr>
              <w:jc w:val="center"/>
              <w:rPr>
                <w:rFonts w:ascii="Calibri" w:hAnsi="Calibri" w:cs="Calibri"/>
                <w:bCs/>
                <w:lang w:val="en-US"/>
              </w:rPr>
            </w:pPr>
          </w:p>
        </w:tc>
      </w:tr>
      <w:tr w:rsidR="00211AE2" w:rsidRPr="00450A01" w14:paraId="572FFD39" w14:textId="77777777" w:rsidTr="00BC6B7C">
        <w:trPr>
          <w:trHeight w:val="540"/>
        </w:trPr>
        <w:tc>
          <w:tcPr>
            <w:tcW w:w="655" w:type="dxa"/>
            <w:vAlign w:val="center"/>
          </w:tcPr>
          <w:p w14:paraId="382B5C6F" w14:textId="77777777" w:rsidR="00211AE2" w:rsidRPr="00524EF1" w:rsidRDefault="00211AE2" w:rsidP="00BC6B7C">
            <w:pPr>
              <w:jc w:val="center"/>
              <w:rPr>
                <w:rFonts w:ascii="Calibri" w:hAnsi="Calibri" w:cs="Calibri"/>
              </w:rPr>
            </w:pPr>
            <w:r w:rsidRPr="00524EF1">
              <w:rPr>
                <w:rFonts w:ascii="Calibri" w:hAnsi="Calibri" w:cs="Calibri"/>
              </w:rPr>
              <w:t>49</w:t>
            </w:r>
          </w:p>
        </w:tc>
        <w:tc>
          <w:tcPr>
            <w:tcW w:w="4496" w:type="dxa"/>
          </w:tcPr>
          <w:p w14:paraId="7285F353" w14:textId="77777777" w:rsidR="00211AE2" w:rsidRPr="00524EF1" w:rsidRDefault="00211AE2" w:rsidP="00BC6B7C">
            <w:pPr>
              <w:rPr>
                <w:rFonts w:ascii="Calibri" w:hAnsi="Calibri" w:cs="Calibri"/>
              </w:rPr>
            </w:pPr>
            <w:r w:rsidRPr="00524EF1">
              <w:rPr>
                <w:rFonts w:ascii="Calibri" w:hAnsi="Calibri" w:cs="Calibri"/>
              </w:rPr>
              <w:t>La línea de bunkering de GNL ha sido revisada. Las conexiones que no se vayan a usar están cerradas, cegadas y completamente atornilladas.</w:t>
            </w:r>
          </w:p>
          <w:p w14:paraId="17D4B1AA"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LNG bunker line up has been checked. Unused connections are closed, blanked and fully bolted.</w:t>
            </w:r>
          </w:p>
        </w:tc>
        <w:tc>
          <w:tcPr>
            <w:tcW w:w="873" w:type="dxa"/>
          </w:tcPr>
          <w:p w14:paraId="55B079A2" w14:textId="77777777" w:rsidR="00211AE2" w:rsidRPr="00524EF1" w:rsidRDefault="00211AE2" w:rsidP="00BC6B7C">
            <w:pPr>
              <w:jc w:val="center"/>
              <w:rPr>
                <w:rFonts w:ascii="Calibri" w:hAnsi="Calibri" w:cs="Calibri"/>
                <w:bCs/>
                <w:lang w:val="en-US"/>
              </w:rPr>
            </w:pPr>
          </w:p>
        </w:tc>
        <w:tc>
          <w:tcPr>
            <w:tcW w:w="857" w:type="dxa"/>
          </w:tcPr>
          <w:p w14:paraId="6E372280" w14:textId="77777777" w:rsidR="00211AE2" w:rsidRPr="00524EF1" w:rsidRDefault="00211AE2" w:rsidP="00BC6B7C">
            <w:pPr>
              <w:jc w:val="center"/>
              <w:rPr>
                <w:rFonts w:ascii="Calibri" w:hAnsi="Calibri" w:cs="Calibri"/>
                <w:bCs/>
                <w:lang w:val="en-US"/>
              </w:rPr>
            </w:pPr>
          </w:p>
        </w:tc>
        <w:tc>
          <w:tcPr>
            <w:tcW w:w="2421" w:type="dxa"/>
          </w:tcPr>
          <w:p w14:paraId="543382DB" w14:textId="77777777" w:rsidR="00211AE2" w:rsidRPr="00524EF1" w:rsidRDefault="00211AE2" w:rsidP="00BC6B7C">
            <w:pPr>
              <w:jc w:val="center"/>
              <w:rPr>
                <w:rFonts w:ascii="Calibri" w:hAnsi="Calibri" w:cs="Calibri"/>
                <w:bCs/>
                <w:lang w:val="en-US"/>
              </w:rPr>
            </w:pPr>
          </w:p>
        </w:tc>
      </w:tr>
      <w:tr w:rsidR="00211AE2" w:rsidRPr="00450A01" w14:paraId="0F214653" w14:textId="77777777" w:rsidTr="00BC6B7C">
        <w:trPr>
          <w:trHeight w:val="540"/>
        </w:trPr>
        <w:tc>
          <w:tcPr>
            <w:tcW w:w="655" w:type="dxa"/>
            <w:vAlign w:val="center"/>
          </w:tcPr>
          <w:p w14:paraId="67126299" w14:textId="77777777" w:rsidR="00211AE2" w:rsidRPr="00524EF1" w:rsidRDefault="00211AE2" w:rsidP="00BC6B7C">
            <w:pPr>
              <w:jc w:val="center"/>
              <w:rPr>
                <w:rFonts w:ascii="Calibri" w:hAnsi="Calibri" w:cs="Calibri"/>
              </w:rPr>
            </w:pPr>
            <w:r w:rsidRPr="00524EF1">
              <w:rPr>
                <w:rFonts w:ascii="Calibri" w:hAnsi="Calibri" w:cs="Calibri"/>
              </w:rPr>
              <w:t>50</w:t>
            </w:r>
          </w:p>
        </w:tc>
        <w:tc>
          <w:tcPr>
            <w:tcW w:w="4496" w:type="dxa"/>
          </w:tcPr>
          <w:p w14:paraId="475D8131" w14:textId="77777777" w:rsidR="00211AE2" w:rsidRPr="00524EF1" w:rsidRDefault="00211AE2" w:rsidP="00BC6B7C">
            <w:pPr>
              <w:rPr>
                <w:rFonts w:ascii="Calibri" w:hAnsi="Calibri" w:cs="Calibri"/>
              </w:rPr>
            </w:pPr>
            <w:r w:rsidRPr="00524EF1">
              <w:rPr>
                <w:rFonts w:ascii="Calibri" w:hAnsi="Calibri" w:cs="Calibri"/>
              </w:rPr>
              <w:t>Las mangueras de bunkering de GNL, el brazo de suministro, las tuberías fijas y los colectores están en buenas condiciones, están correctamente instaladas, soportadas, conectadas adecuadamente, está probadas frete a fugas y están certificadas para la transferencia de GNL.</w:t>
            </w:r>
          </w:p>
          <w:p w14:paraId="69320712"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LNG bunker hoses, loading arm, fixed pipelines and manifolds are in good condition, properly rigged, supported, properly connected, leak tested and certified for the LNG transfer.</w:t>
            </w:r>
          </w:p>
        </w:tc>
        <w:tc>
          <w:tcPr>
            <w:tcW w:w="873" w:type="dxa"/>
          </w:tcPr>
          <w:p w14:paraId="3F462850" w14:textId="77777777" w:rsidR="00211AE2" w:rsidRPr="00524EF1" w:rsidRDefault="00211AE2" w:rsidP="00BC6B7C">
            <w:pPr>
              <w:jc w:val="center"/>
              <w:rPr>
                <w:rFonts w:ascii="Calibri" w:hAnsi="Calibri" w:cs="Calibri"/>
                <w:bCs/>
                <w:lang w:val="en-US"/>
              </w:rPr>
            </w:pPr>
          </w:p>
        </w:tc>
        <w:tc>
          <w:tcPr>
            <w:tcW w:w="857" w:type="dxa"/>
          </w:tcPr>
          <w:p w14:paraId="018558B0" w14:textId="77777777" w:rsidR="00211AE2" w:rsidRPr="00524EF1" w:rsidRDefault="00211AE2" w:rsidP="00BC6B7C">
            <w:pPr>
              <w:jc w:val="center"/>
              <w:rPr>
                <w:rFonts w:ascii="Calibri" w:hAnsi="Calibri" w:cs="Calibri"/>
                <w:bCs/>
                <w:lang w:val="en-US"/>
              </w:rPr>
            </w:pPr>
          </w:p>
        </w:tc>
        <w:tc>
          <w:tcPr>
            <w:tcW w:w="2421" w:type="dxa"/>
          </w:tcPr>
          <w:p w14:paraId="73A80052" w14:textId="77777777" w:rsidR="00211AE2" w:rsidRPr="00524EF1" w:rsidRDefault="00211AE2" w:rsidP="00BC6B7C">
            <w:pPr>
              <w:jc w:val="center"/>
              <w:rPr>
                <w:rFonts w:ascii="Calibri" w:hAnsi="Calibri" w:cs="Calibri"/>
                <w:bCs/>
                <w:lang w:val="en-US"/>
              </w:rPr>
            </w:pPr>
          </w:p>
        </w:tc>
      </w:tr>
      <w:tr w:rsidR="00211AE2" w:rsidRPr="00524EF1" w14:paraId="36FC1FCC" w14:textId="77777777" w:rsidTr="00BC6B7C">
        <w:trPr>
          <w:trHeight w:val="540"/>
        </w:trPr>
        <w:tc>
          <w:tcPr>
            <w:tcW w:w="655" w:type="dxa"/>
            <w:vAlign w:val="center"/>
          </w:tcPr>
          <w:p w14:paraId="0A9398D3" w14:textId="77777777" w:rsidR="00211AE2" w:rsidRPr="00524EF1" w:rsidRDefault="00211AE2" w:rsidP="00BC6B7C">
            <w:pPr>
              <w:jc w:val="center"/>
              <w:rPr>
                <w:rFonts w:ascii="Calibri" w:hAnsi="Calibri" w:cs="Calibri"/>
              </w:rPr>
            </w:pPr>
            <w:r w:rsidRPr="00524EF1">
              <w:rPr>
                <w:rFonts w:ascii="Calibri" w:hAnsi="Calibri" w:cs="Calibri"/>
              </w:rPr>
              <w:t>51</w:t>
            </w:r>
          </w:p>
        </w:tc>
        <w:tc>
          <w:tcPr>
            <w:tcW w:w="4496" w:type="dxa"/>
          </w:tcPr>
          <w:p w14:paraId="5B5A92BE" w14:textId="77777777" w:rsidR="00211AE2" w:rsidRPr="00524EF1" w:rsidRDefault="00211AE2" w:rsidP="00BC6B7C">
            <w:pPr>
              <w:rPr>
                <w:rFonts w:ascii="Calibri" w:hAnsi="Calibri" w:cs="Calibri"/>
              </w:rPr>
            </w:pPr>
            <w:r w:rsidRPr="00524EF1">
              <w:rPr>
                <w:rFonts w:ascii="Calibri" w:hAnsi="Calibri" w:cs="Calibri"/>
              </w:rPr>
              <w:t>La conexión de bunkering de GNL entre la terminal de GNL y el buque se proporciona con acoplamientos de desconexión seca.</w:t>
            </w:r>
          </w:p>
          <w:p w14:paraId="3CBC76CA"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LNG bunker connection between the ship and the LNG bunker vessel is provided with dry disconnection couplings.</w:t>
            </w:r>
          </w:p>
        </w:tc>
        <w:tc>
          <w:tcPr>
            <w:tcW w:w="873" w:type="dxa"/>
          </w:tcPr>
          <w:p w14:paraId="2525EF36" w14:textId="77777777" w:rsidR="00211AE2" w:rsidRPr="00524EF1" w:rsidRDefault="00211AE2" w:rsidP="00BC6B7C">
            <w:pPr>
              <w:jc w:val="center"/>
              <w:rPr>
                <w:rFonts w:ascii="Calibri" w:hAnsi="Calibri" w:cs="Calibri"/>
                <w:bCs/>
                <w:lang w:val="en-US"/>
              </w:rPr>
            </w:pPr>
          </w:p>
        </w:tc>
        <w:tc>
          <w:tcPr>
            <w:tcW w:w="857" w:type="dxa"/>
          </w:tcPr>
          <w:p w14:paraId="3B56BD90" w14:textId="77777777" w:rsidR="00211AE2" w:rsidRPr="00524EF1" w:rsidRDefault="00211AE2" w:rsidP="00BC6B7C">
            <w:pPr>
              <w:jc w:val="center"/>
              <w:rPr>
                <w:rFonts w:ascii="Calibri" w:hAnsi="Calibri" w:cs="Calibri"/>
                <w:bCs/>
                <w:lang w:val="en-US"/>
              </w:rPr>
            </w:pPr>
          </w:p>
        </w:tc>
        <w:tc>
          <w:tcPr>
            <w:tcW w:w="2421" w:type="dxa"/>
          </w:tcPr>
          <w:p w14:paraId="09B31A14" w14:textId="77777777" w:rsidR="00211AE2" w:rsidRPr="00524EF1" w:rsidRDefault="00211AE2" w:rsidP="00BC6B7C">
            <w:pPr>
              <w:rPr>
                <w:rFonts w:ascii="Calibri" w:hAnsi="Calibri" w:cs="Calibri"/>
                <w:bCs/>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524EF1" w14:paraId="17872D18" w14:textId="77777777" w:rsidTr="00BC6B7C">
        <w:trPr>
          <w:trHeight w:val="540"/>
        </w:trPr>
        <w:tc>
          <w:tcPr>
            <w:tcW w:w="655" w:type="dxa"/>
            <w:vAlign w:val="center"/>
          </w:tcPr>
          <w:p w14:paraId="015CA73C" w14:textId="77777777" w:rsidR="00211AE2" w:rsidRPr="00524EF1" w:rsidRDefault="00211AE2" w:rsidP="00BC6B7C">
            <w:pPr>
              <w:jc w:val="center"/>
              <w:rPr>
                <w:rFonts w:ascii="Calibri" w:hAnsi="Calibri" w:cs="Calibri"/>
              </w:rPr>
            </w:pPr>
            <w:r w:rsidRPr="00524EF1">
              <w:rPr>
                <w:rFonts w:ascii="Calibri" w:hAnsi="Calibri" w:cs="Calibri"/>
              </w:rPr>
              <w:t>52</w:t>
            </w:r>
          </w:p>
        </w:tc>
        <w:tc>
          <w:tcPr>
            <w:tcW w:w="4496" w:type="dxa"/>
          </w:tcPr>
          <w:p w14:paraId="5A885F45" w14:textId="77777777" w:rsidR="00211AE2" w:rsidRPr="00524EF1" w:rsidRDefault="00211AE2" w:rsidP="00BC6B7C">
            <w:pPr>
              <w:rPr>
                <w:rFonts w:ascii="Calibri" w:hAnsi="Calibri" w:cs="Calibri"/>
              </w:rPr>
            </w:pPr>
            <w:r w:rsidRPr="00524EF1">
              <w:rPr>
                <w:rFonts w:ascii="Calibri" w:hAnsi="Calibri" w:cs="Calibri"/>
              </w:rPr>
              <w:t>Los acoplamientos de desconexión seca en las conexiones de bunkering de GNL están en su lugar, se han inspeccionado visualmente para determinar su funcionamiento y se encuentran en buen estado.</w:t>
            </w:r>
          </w:p>
          <w:p w14:paraId="3CBBB5EE"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Dry breakaway couplings in the LNG bunker connections are in place, have been visually inspected for functioning and found to be in a good working order</w:t>
            </w:r>
          </w:p>
        </w:tc>
        <w:tc>
          <w:tcPr>
            <w:tcW w:w="873" w:type="dxa"/>
          </w:tcPr>
          <w:p w14:paraId="083F44EE" w14:textId="77777777" w:rsidR="00211AE2" w:rsidRPr="00524EF1" w:rsidRDefault="00211AE2" w:rsidP="00BC6B7C">
            <w:pPr>
              <w:jc w:val="center"/>
              <w:rPr>
                <w:rFonts w:ascii="Calibri" w:hAnsi="Calibri" w:cs="Calibri"/>
                <w:bCs/>
                <w:lang w:val="en-US"/>
              </w:rPr>
            </w:pPr>
          </w:p>
        </w:tc>
        <w:tc>
          <w:tcPr>
            <w:tcW w:w="857" w:type="dxa"/>
          </w:tcPr>
          <w:p w14:paraId="7E440D4A" w14:textId="77777777" w:rsidR="00211AE2" w:rsidRPr="00524EF1" w:rsidRDefault="00211AE2" w:rsidP="00BC6B7C">
            <w:pPr>
              <w:jc w:val="center"/>
              <w:rPr>
                <w:rFonts w:ascii="Calibri" w:hAnsi="Calibri" w:cs="Calibri"/>
                <w:bCs/>
                <w:lang w:val="en-US"/>
              </w:rPr>
            </w:pPr>
          </w:p>
        </w:tc>
        <w:tc>
          <w:tcPr>
            <w:tcW w:w="2421" w:type="dxa"/>
          </w:tcPr>
          <w:p w14:paraId="13BEBDE1" w14:textId="77777777" w:rsidR="00211AE2" w:rsidRPr="00524EF1" w:rsidRDefault="00211AE2" w:rsidP="00BC6B7C">
            <w:pPr>
              <w:rPr>
                <w:rFonts w:ascii="Calibri" w:hAnsi="Calibri" w:cs="Calibri"/>
                <w:bCs/>
                <w:lang w:val="en-US"/>
              </w:rPr>
            </w:pPr>
            <w:r w:rsidRPr="00524EF1">
              <w:rPr>
                <w:rFonts w:ascii="Calibri" w:hAnsi="Calibri" w:cs="Calibri"/>
              </w:rPr>
              <w:t xml:space="preserve">Si aplica/ </w:t>
            </w:r>
            <w:r w:rsidRPr="00524EF1">
              <w:rPr>
                <w:rFonts w:ascii="Calibri" w:hAnsi="Calibri" w:cs="Calibri"/>
                <w:i/>
                <w:iCs/>
              </w:rPr>
              <w:t>If applicable</w:t>
            </w:r>
            <w:r w:rsidRPr="00524EF1">
              <w:rPr>
                <w:rFonts w:ascii="Calibri" w:hAnsi="Calibri" w:cs="Calibri"/>
              </w:rPr>
              <w:t>:</w:t>
            </w:r>
          </w:p>
        </w:tc>
      </w:tr>
      <w:tr w:rsidR="00211AE2" w:rsidRPr="00524EF1" w14:paraId="3A161177" w14:textId="77777777" w:rsidTr="00BC6B7C">
        <w:trPr>
          <w:trHeight w:val="540"/>
        </w:trPr>
        <w:tc>
          <w:tcPr>
            <w:tcW w:w="655" w:type="dxa"/>
            <w:vAlign w:val="center"/>
          </w:tcPr>
          <w:p w14:paraId="37D9A8B8" w14:textId="77777777" w:rsidR="00211AE2" w:rsidRPr="00524EF1" w:rsidRDefault="00211AE2" w:rsidP="00BC6B7C">
            <w:pPr>
              <w:jc w:val="center"/>
              <w:rPr>
                <w:rFonts w:ascii="Calibri" w:hAnsi="Calibri" w:cs="Calibri"/>
              </w:rPr>
            </w:pPr>
            <w:r w:rsidRPr="00524EF1">
              <w:rPr>
                <w:rFonts w:ascii="Calibri" w:hAnsi="Calibri" w:cs="Calibri"/>
              </w:rPr>
              <w:t>53</w:t>
            </w:r>
          </w:p>
        </w:tc>
        <w:tc>
          <w:tcPr>
            <w:tcW w:w="4496" w:type="dxa"/>
          </w:tcPr>
          <w:p w14:paraId="342A5AC2" w14:textId="77777777" w:rsidR="00211AE2" w:rsidRPr="00524EF1" w:rsidRDefault="00211AE2" w:rsidP="00BC6B7C">
            <w:pPr>
              <w:rPr>
                <w:rFonts w:ascii="Calibri" w:hAnsi="Calibri" w:cs="Calibri"/>
              </w:rPr>
            </w:pPr>
            <w:r w:rsidRPr="00524EF1">
              <w:rPr>
                <w:rFonts w:ascii="Calibri" w:hAnsi="Calibri" w:cs="Calibri"/>
              </w:rPr>
              <w:t>Los planes de control de incendios de emergencia del barco están ubicados en el exterior.</w:t>
            </w:r>
          </w:p>
          <w:p w14:paraId="57E89BFE"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The ship’s emergency fire control plans are located externally.</w:t>
            </w:r>
          </w:p>
        </w:tc>
        <w:tc>
          <w:tcPr>
            <w:tcW w:w="873" w:type="dxa"/>
          </w:tcPr>
          <w:p w14:paraId="11B53F1C" w14:textId="77777777" w:rsidR="00211AE2" w:rsidRPr="00524EF1" w:rsidRDefault="00211AE2" w:rsidP="00BC6B7C">
            <w:pPr>
              <w:jc w:val="center"/>
              <w:rPr>
                <w:rFonts w:ascii="Calibri" w:hAnsi="Calibri" w:cs="Calibri"/>
                <w:bCs/>
                <w:lang w:val="en-US"/>
              </w:rPr>
            </w:pPr>
          </w:p>
        </w:tc>
        <w:tc>
          <w:tcPr>
            <w:tcW w:w="857" w:type="dxa"/>
          </w:tcPr>
          <w:p w14:paraId="7142D4DC" w14:textId="77777777" w:rsidR="00211AE2" w:rsidRPr="00524EF1" w:rsidRDefault="00211AE2" w:rsidP="00BC6B7C">
            <w:pPr>
              <w:jc w:val="center"/>
              <w:rPr>
                <w:rFonts w:ascii="Calibri" w:hAnsi="Calibri" w:cs="Calibri"/>
                <w:bCs/>
                <w:lang w:val="en-US"/>
              </w:rPr>
            </w:pPr>
          </w:p>
        </w:tc>
        <w:tc>
          <w:tcPr>
            <w:tcW w:w="2421" w:type="dxa"/>
          </w:tcPr>
          <w:p w14:paraId="2BECE4E6" w14:textId="77777777" w:rsidR="00211AE2" w:rsidRPr="00524EF1" w:rsidRDefault="00211AE2" w:rsidP="00BC6B7C">
            <w:pPr>
              <w:jc w:val="center"/>
              <w:rPr>
                <w:rFonts w:ascii="Calibri" w:hAnsi="Calibri" w:cs="Calibri"/>
                <w:bCs/>
                <w:lang w:val="en-US"/>
              </w:rPr>
            </w:pPr>
            <w:r w:rsidRPr="00524EF1">
              <w:rPr>
                <w:rFonts w:ascii="Calibri" w:hAnsi="Calibri" w:cs="Calibri"/>
                <w:bCs/>
                <w:lang w:val="en-US"/>
              </w:rPr>
              <w:t>Localización/</w:t>
            </w:r>
            <w:r w:rsidRPr="00524EF1">
              <w:rPr>
                <w:rFonts w:ascii="Calibri" w:hAnsi="Calibri" w:cs="Calibri"/>
                <w:bCs/>
                <w:i/>
                <w:iCs/>
                <w:lang w:val="en-US"/>
              </w:rPr>
              <w:t>Location</w:t>
            </w:r>
          </w:p>
        </w:tc>
      </w:tr>
      <w:tr w:rsidR="00211AE2" w:rsidRPr="00524EF1" w14:paraId="5881FDA0" w14:textId="77777777" w:rsidTr="00BC6B7C">
        <w:trPr>
          <w:trHeight w:val="540"/>
        </w:trPr>
        <w:tc>
          <w:tcPr>
            <w:tcW w:w="655" w:type="dxa"/>
            <w:vAlign w:val="center"/>
          </w:tcPr>
          <w:p w14:paraId="7BA8C7C3" w14:textId="77777777" w:rsidR="00211AE2" w:rsidRPr="00524EF1" w:rsidRDefault="00211AE2" w:rsidP="00BC6B7C">
            <w:pPr>
              <w:jc w:val="center"/>
              <w:rPr>
                <w:rFonts w:ascii="Calibri" w:hAnsi="Calibri" w:cs="Calibri"/>
              </w:rPr>
            </w:pPr>
            <w:r w:rsidRPr="00524EF1">
              <w:rPr>
                <w:rFonts w:ascii="Calibri" w:hAnsi="Calibri" w:cs="Calibri"/>
              </w:rPr>
              <w:lastRenderedPageBreak/>
              <w:t>54</w:t>
            </w:r>
          </w:p>
        </w:tc>
        <w:tc>
          <w:tcPr>
            <w:tcW w:w="4496" w:type="dxa"/>
          </w:tcPr>
          <w:p w14:paraId="15047343" w14:textId="77777777" w:rsidR="00211AE2" w:rsidRPr="00524EF1" w:rsidRDefault="00211AE2" w:rsidP="00BC6B7C">
            <w:pPr>
              <w:rPr>
                <w:rFonts w:ascii="Calibri" w:hAnsi="Calibri" w:cs="Calibri"/>
              </w:rPr>
            </w:pPr>
            <w:r w:rsidRPr="00524EF1">
              <w:rPr>
                <w:rFonts w:ascii="Calibri" w:hAnsi="Calibri" w:cs="Calibri"/>
              </w:rPr>
              <w:t>Las autoridades competentes han sido informadas de que las operaciones de transferencia de bunkering están comenzando y se les ha solicitado que informen a otros buques en las proximidades.</w:t>
            </w:r>
          </w:p>
          <w:p w14:paraId="66C688B6" w14:textId="77777777" w:rsidR="00211AE2" w:rsidRPr="00524EF1" w:rsidRDefault="00211AE2" w:rsidP="00BC6B7C">
            <w:pPr>
              <w:rPr>
                <w:rFonts w:ascii="Calibri" w:hAnsi="Calibri" w:cs="Calibri"/>
                <w:i/>
                <w:iCs/>
                <w:lang w:val="en-US"/>
              </w:rPr>
            </w:pPr>
            <w:r w:rsidRPr="00524EF1">
              <w:rPr>
                <w:rFonts w:ascii="Calibri" w:hAnsi="Calibri" w:cs="Calibri"/>
                <w:i/>
                <w:iCs/>
                <w:lang w:val="en-US"/>
              </w:rPr>
              <w:t>Competent authorities have been informed that bunker transfer operations are commencing and have been requested to inform other vessels in the vicinity</w:t>
            </w:r>
          </w:p>
        </w:tc>
        <w:tc>
          <w:tcPr>
            <w:tcW w:w="873" w:type="dxa"/>
          </w:tcPr>
          <w:p w14:paraId="697790DF" w14:textId="77777777" w:rsidR="00211AE2" w:rsidRPr="00524EF1" w:rsidRDefault="00211AE2" w:rsidP="00BC6B7C">
            <w:pPr>
              <w:jc w:val="center"/>
              <w:rPr>
                <w:rFonts w:ascii="Calibri" w:hAnsi="Calibri" w:cs="Calibri"/>
                <w:bCs/>
                <w:lang w:val="en-US"/>
              </w:rPr>
            </w:pPr>
          </w:p>
        </w:tc>
        <w:tc>
          <w:tcPr>
            <w:tcW w:w="857" w:type="dxa"/>
          </w:tcPr>
          <w:p w14:paraId="2AFDA44A" w14:textId="77777777" w:rsidR="00211AE2" w:rsidRPr="00524EF1" w:rsidRDefault="00211AE2" w:rsidP="00BC6B7C">
            <w:pPr>
              <w:jc w:val="center"/>
              <w:rPr>
                <w:rFonts w:ascii="Calibri" w:hAnsi="Calibri" w:cs="Calibri"/>
                <w:bCs/>
                <w:lang w:val="en-US"/>
              </w:rPr>
            </w:pPr>
          </w:p>
        </w:tc>
        <w:tc>
          <w:tcPr>
            <w:tcW w:w="2421" w:type="dxa"/>
          </w:tcPr>
          <w:p w14:paraId="5F946639" w14:textId="77777777" w:rsidR="00211AE2" w:rsidRPr="00524EF1" w:rsidRDefault="00211AE2" w:rsidP="00BC6B7C">
            <w:pPr>
              <w:jc w:val="center"/>
              <w:rPr>
                <w:rFonts w:ascii="Calibri" w:hAnsi="Calibri" w:cs="Calibri"/>
                <w:bCs/>
                <w:lang w:val="en-US"/>
              </w:rPr>
            </w:pPr>
            <w:r w:rsidRPr="00524EF1">
              <w:rPr>
                <w:rFonts w:ascii="Calibri" w:hAnsi="Calibri" w:cs="Calibri"/>
                <w:bCs/>
              </w:rPr>
              <w:t xml:space="preserve">Dia y hora notificación / </w:t>
            </w:r>
            <w:r w:rsidRPr="00524EF1">
              <w:rPr>
                <w:rFonts w:ascii="Calibri" w:hAnsi="Calibri" w:cs="Calibri"/>
                <w:bCs/>
                <w:i/>
                <w:iCs/>
                <w:lang w:val="en-US"/>
              </w:rPr>
              <w:t>date and time notification</w:t>
            </w:r>
          </w:p>
          <w:p w14:paraId="5B229383" w14:textId="77777777" w:rsidR="00211AE2" w:rsidRPr="00524EF1" w:rsidRDefault="00211AE2" w:rsidP="00BC6B7C">
            <w:pPr>
              <w:jc w:val="center"/>
              <w:rPr>
                <w:rFonts w:ascii="Calibri" w:hAnsi="Calibri" w:cs="Calibri"/>
                <w:bCs/>
                <w:lang w:val="en-US"/>
              </w:rPr>
            </w:pPr>
          </w:p>
        </w:tc>
      </w:tr>
    </w:tbl>
    <w:p w14:paraId="0DEBD8B1" w14:textId="77777777" w:rsidR="00211AE2" w:rsidRPr="00524EF1" w:rsidRDefault="00211AE2" w:rsidP="00211AE2">
      <w:pPr>
        <w:jc w:val="both"/>
        <w:rPr>
          <w:rFonts w:ascii="Calibri" w:hAnsi="Calibri" w:cs="Calibri"/>
          <w:lang w:val="en-US"/>
        </w:rPr>
      </w:pPr>
    </w:p>
    <w:tbl>
      <w:tblPr>
        <w:tblpPr w:leftFromText="141" w:rightFromText="141" w:vertAnchor="text" w:tblpX="251" w:tblpY="4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10"/>
        <w:gridCol w:w="4784"/>
      </w:tblGrid>
      <w:tr w:rsidR="00211AE2" w:rsidRPr="00524EF1" w14:paraId="2A13BCCC" w14:textId="77777777" w:rsidTr="00BC6B7C">
        <w:trPr>
          <w:trHeight w:val="703"/>
        </w:trPr>
        <w:tc>
          <w:tcPr>
            <w:tcW w:w="3710" w:type="dxa"/>
            <w:tcBorders>
              <w:bottom w:val="single" w:sz="4" w:space="0" w:color="auto"/>
            </w:tcBorders>
          </w:tcPr>
          <w:p w14:paraId="2BE4B18E"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POR EL BUQUE</w:t>
            </w:r>
          </w:p>
          <w:p w14:paraId="7F7C5159"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BY THE VESSEL</w:t>
            </w:r>
          </w:p>
        </w:tc>
        <w:tc>
          <w:tcPr>
            <w:tcW w:w="4784" w:type="dxa"/>
            <w:tcBorders>
              <w:bottom w:val="single" w:sz="4" w:space="0" w:color="auto"/>
            </w:tcBorders>
          </w:tcPr>
          <w:p w14:paraId="5F49CF72"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POR TIERRA</w:t>
            </w:r>
          </w:p>
          <w:p w14:paraId="2DA83C08"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BY LAND</w:t>
            </w:r>
          </w:p>
        </w:tc>
      </w:tr>
      <w:tr w:rsidR="00211AE2" w:rsidRPr="00524EF1" w14:paraId="38BA65E1" w14:textId="77777777" w:rsidTr="00BC6B7C">
        <w:trPr>
          <w:trHeight w:val="720"/>
        </w:trPr>
        <w:tc>
          <w:tcPr>
            <w:tcW w:w="3710" w:type="dxa"/>
            <w:tcBorders>
              <w:top w:val="single" w:sz="4" w:space="0" w:color="auto"/>
            </w:tcBorders>
          </w:tcPr>
          <w:p w14:paraId="523EB94C"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NOMBRE:</w:t>
            </w:r>
          </w:p>
          <w:p w14:paraId="4B57749F"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NAME:</w:t>
            </w:r>
          </w:p>
        </w:tc>
        <w:tc>
          <w:tcPr>
            <w:tcW w:w="4784" w:type="dxa"/>
            <w:tcBorders>
              <w:top w:val="single" w:sz="4" w:space="0" w:color="auto"/>
            </w:tcBorders>
          </w:tcPr>
          <w:p w14:paraId="7521D3B2"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NOMBRE:</w:t>
            </w:r>
          </w:p>
          <w:p w14:paraId="2DC34EFF" w14:textId="77777777" w:rsidR="00211AE2" w:rsidRPr="00524EF1" w:rsidRDefault="00211AE2" w:rsidP="00BC6B7C">
            <w:pPr>
              <w:spacing w:after="0" w:line="240" w:lineRule="auto"/>
              <w:jc w:val="both"/>
              <w:rPr>
                <w:rFonts w:ascii="Calibri" w:eastAsia="Times New Roman" w:hAnsi="Calibri" w:cs="Calibri"/>
                <w:i/>
                <w:lang w:val="en-US" w:eastAsia="es-ES"/>
              </w:rPr>
            </w:pPr>
            <w:r w:rsidRPr="00524EF1">
              <w:rPr>
                <w:rFonts w:ascii="Calibri" w:eastAsia="Times New Roman" w:hAnsi="Calibri" w:cs="Calibri"/>
                <w:i/>
                <w:lang w:val="en-GB" w:eastAsia="es-ES"/>
              </w:rPr>
              <w:t>NAME:</w:t>
            </w:r>
          </w:p>
        </w:tc>
      </w:tr>
      <w:tr w:rsidR="00211AE2" w:rsidRPr="00524EF1" w14:paraId="22E854B3" w14:textId="77777777" w:rsidTr="00BC6B7C">
        <w:trPr>
          <w:trHeight w:val="693"/>
        </w:trPr>
        <w:tc>
          <w:tcPr>
            <w:tcW w:w="3710" w:type="dxa"/>
          </w:tcPr>
          <w:p w14:paraId="61E32906"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CARGO:</w:t>
            </w:r>
          </w:p>
          <w:p w14:paraId="62A9C589"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POSITION:</w:t>
            </w:r>
          </w:p>
        </w:tc>
        <w:tc>
          <w:tcPr>
            <w:tcW w:w="4784" w:type="dxa"/>
          </w:tcPr>
          <w:p w14:paraId="260C0A5D"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CARGO:</w:t>
            </w:r>
          </w:p>
          <w:p w14:paraId="36F65359"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POSITION:</w:t>
            </w:r>
          </w:p>
        </w:tc>
      </w:tr>
      <w:tr w:rsidR="00211AE2" w:rsidRPr="00524EF1" w14:paraId="653538B2" w14:textId="77777777" w:rsidTr="00BC6B7C">
        <w:trPr>
          <w:trHeight w:val="1463"/>
        </w:trPr>
        <w:tc>
          <w:tcPr>
            <w:tcW w:w="3710" w:type="dxa"/>
            <w:tcBorders>
              <w:bottom w:val="single" w:sz="4" w:space="0" w:color="auto"/>
            </w:tcBorders>
          </w:tcPr>
          <w:p w14:paraId="460628ED"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FIRMA:</w:t>
            </w:r>
          </w:p>
          <w:p w14:paraId="755CD407"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SIGNATURE:</w:t>
            </w:r>
          </w:p>
        </w:tc>
        <w:tc>
          <w:tcPr>
            <w:tcW w:w="4784" w:type="dxa"/>
            <w:tcBorders>
              <w:bottom w:val="single" w:sz="4" w:space="0" w:color="auto"/>
            </w:tcBorders>
          </w:tcPr>
          <w:p w14:paraId="053EF8C6" w14:textId="77777777" w:rsidR="00211AE2" w:rsidRPr="00524EF1" w:rsidRDefault="00211AE2" w:rsidP="00BC6B7C">
            <w:pPr>
              <w:spacing w:after="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FIRMA:</w:t>
            </w:r>
          </w:p>
          <w:p w14:paraId="5BDA6A84" w14:textId="77777777" w:rsidR="00211AE2" w:rsidRPr="00524EF1" w:rsidRDefault="00211AE2" w:rsidP="00BC6B7C">
            <w:pPr>
              <w:spacing w:after="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SIGNATURE:</w:t>
            </w:r>
          </w:p>
        </w:tc>
      </w:tr>
      <w:tr w:rsidR="00211AE2" w:rsidRPr="00524EF1" w14:paraId="70A9EF22" w14:textId="77777777" w:rsidTr="00BC6B7C">
        <w:trPr>
          <w:trHeight w:val="640"/>
        </w:trPr>
        <w:tc>
          <w:tcPr>
            <w:tcW w:w="8494" w:type="dxa"/>
            <w:gridSpan w:val="2"/>
          </w:tcPr>
          <w:p w14:paraId="45CCF056" w14:textId="77777777" w:rsidR="00211AE2" w:rsidRPr="00524EF1" w:rsidRDefault="00211AE2" w:rsidP="00BC6B7C">
            <w:pPr>
              <w:spacing w:before="240" w:after="240" w:line="240" w:lineRule="auto"/>
              <w:jc w:val="both"/>
              <w:rPr>
                <w:rFonts w:ascii="Calibri" w:eastAsia="Times New Roman" w:hAnsi="Calibri" w:cs="Calibri"/>
                <w:b/>
                <w:i/>
                <w:lang w:val="en-GB" w:eastAsia="es-ES"/>
              </w:rPr>
            </w:pPr>
            <w:r w:rsidRPr="00524EF1">
              <w:rPr>
                <w:rFonts w:ascii="Calibri" w:eastAsia="Times New Roman" w:hAnsi="Calibri" w:cs="Calibri"/>
                <w:b/>
                <w:i/>
                <w:lang w:val="en-GB" w:eastAsia="es-ES"/>
              </w:rPr>
              <w:t xml:space="preserve">  HORA:                                                                 FECHA:</w:t>
            </w:r>
          </w:p>
          <w:p w14:paraId="622CEDC1" w14:textId="77777777" w:rsidR="00211AE2" w:rsidRPr="00524EF1" w:rsidRDefault="00211AE2" w:rsidP="00BC6B7C">
            <w:pPr>
              <w:spacing w:before="240" w:after="240" w:line="240" w:lineRule="auto"/>
              <w:jc w:val="both"/>
              <w:rPr>
                <w:rFonts w:ascii="Calibri" w:eastAsia="Times New Roman" w:hAnsi="Calibri" w:cs="Calibri"/>
                <w:i/>
                <w:lang w:val="en-GB" w:eastAsia="es-ES"/>
              </w:rPr>
            </w:pPr>
            <w:r w:rsidRPr="00524EF1">
              <w:rPr>
                <w:rFonts w:ascii="Calibri" w:eastAsia="Times New Roman" w:hAnsi="Calibri" w:cs="Calibri"/>
                <w:i/>
                <w:lang w:val="en-GB" w:eastAsia="es-ES"/>
              </w:rPr>
              <w:t xml:space="preserve"> TIME:                                                                  DATE:</w:t>
            </w:r>
          </w:p>
        </w:tc>
      </w:tr>
    </w:tbl>
    <w:p w14:paraId="4247EC61" w14:textId="77777777" w:rsidR="00211AE2" w:rsidRPr="00524EF1" w:rsidRDefault="00211AE2" w:rsidP="00211AE2">
      <w:pPr>
        <w:jc w:val="both"/>
        <w:rPr>
          <w:rFonts w:ascii="Calibri" w:hAnsi="Calibri" w:cs="Calibri"/>
          <w:lang w:val="en-US"/>
        </w:rPr>
      </w:pPr>
    </w:p>
    <w:p w14:paraId="5C4416FC" w14:textId="77777777" w:rsidR="00211AE2" w:rsidRPr="00524EF1" w:rsidRDefault="00211AE2" w:rsidP="00211AE2">
      <w:pPr>
        <w:jc w:val="both"/>
        <w:rPr>
          <w:rFonts w:ascii="Calibri" w:hAnsi="Calibri" w:cs="Calibri"/>
        </w:rPr>
      </w:pPr>
    </w:p>
    <w:p w14:paraId="3B32A1E8" w14:textId="77777777" w:rsidR="00211AE2" w:rsidRPr="00524EF1" w:rsidRDefault="00211AE2" w:rsidP="00211AE2">
      <w:pPr>
        <w:jc w:val="both"/>
        <w:rPr>
          <w:rFonts w:ascii="Calibri" w:hAnsi="Calibri" w:cs="Calibri"/>
        </w:rPr>
      </w:pPr>
    </w:p>
    <w:p w14:paraId="57FEC07B" w14:textId="77777777" w:rsidR="009C710D" w:rsidRDefault="009C710D" w:rsidP="003457E7">
      <w:pPr>
        <w:tabs>
          <w:tab w:val="left" w:pos="1613"/>
        </w:tabs>
        <w:rPr>
          <w:lang w:eastAsia="es-ES"/>
        </w:rPr>
      </w:pPr>
    </w:p>
    <w:p w14:paraId="33651E5A" w14:textId="77777777" w:rsidR="00211AE2" w:rsidRDefault="00211AE2" w:rsidP="003457E7">
      <w:pPr>
        <w:tabs>
          <w:tab w:val="left" w:pos="1613"/>
        </w:tabs>
        <w:rPr>
          <w:lang w:eastAsia="es-ES"/>
        </w:rPr>
      </w:pPr>
    </w:p>
    <w:p w14:paraId="3C2451EE" w14:textId="77777777" w:rsidR="00211AE2" w:rsidRDefault="00211AE2" w:rsidP="003457E7">
      <w:pPr>
        <w:tabs>
          <w:tab w:val="left" w:pos="1613"/>
        </w:tabs>
        <w:rPr>
          <w:lang w:eastAsia="es-ES"/>
        </w:rPr>
      </w:pPr>
    </w:p>
    <w:p w14:paraId="264AAC87" w14:textId="77777777" w:rsidR="00211AE2" w:rsidRDefault="00211AE2" w:rsidP="003457E7">
      <w:pPr>
        <w:tabs>
          <w:tab w:val="left" w:pos="1613"/>
        </w:tabs>
        <w:rPr>
          <w:lang w:eastAsia="es-ES"/>
        </w:rPr>
      </w:pPr>
    </w:p>
    <w:p w14:paraId="603EB405" w14:textId="77777777" w:rsidR="00211AE2" w:rsidRDefault="00211AE2" w:rsidP="003457E7">
      <w:pPr>
        <w:tabs>
          <w:tab w:val="left" w:pos="1613"/>
        </w:tabs>
        <w:rPr>
          <w:lang w:eastAsia="es-ES"/>
        </w:rPr>
      </w:pPr>
    </w:p>
    <w:p w14:paraId="1E250E19" w14:textId="77777777" w:rsidR="00211AE2" w:rsidRDefault="00211AE2" w:rsidP="003457E7">
      <w:pPr>
        <w:tabs>
          <w:tab w:val="left" w:pos="1613"/>
        </w:tabs>
        <w:rPr>
          <w:lang w:eastAsia="es-ES"/>
        </w:rPr>
      </w:pPr>
    </w:p>
    <w:p w14:paraId="5D977807" w14:textId="77777777" w:rsidR="00211AE2" w:rsidRDefault="00211AE2" w:rsidP="003457E7">
      <w:pPr>
        <w:tabs>
          <w:tab w:val="left" w:pos="1613"/>
        </w:tabs>
        <w:rPr>
          <w:lang w:eastAsia="es-ES"/>
        </w:rPr>
      </w:pPr>
    </w:p>
    <w:p w14:paraId="5971E903" w14:textId="77777777" w:rsidR="00211AE2" w:rsidRDefault="00211AE2" w:rsidP="003457E7">
      <w:pPr>
        <w:tabs>
          <w:tab w:val="left" w:pos="1613"/>
        </w:tabs>
        <w:rPr>
          <w:lang w:eastAsia="es-ES"/>
        </w:rPr>
      </w:pPr>
    </w:p>
    <w:p w14:paraId="11E792F7" w14:textId="77777777" w:rsidR="00211AE2" w:rsidRDefault="00211AE2" w:rsidP="003457E7">
      <w:pPr>
        <w:tabs>
          <w:tab w:val="left" w:pos="1613"/>
        </w:tabs>
        <w:rPr>
          <w:lang w:eastAsia="es-ES"/>
        </w:rPr>
      </w:pPr>
    </w:p>
    <w:p w14:paraId="3FA29F86" w14:textId="42A648A7" w:rsidR="00D91439" w:rsidRPr="009E1782" w:rsidRDefault="00D91439" w:rsidP="00F23DDA">
      <w:pPr>
        <w:keepNext/>
        <w:keepLines/>
        <w:pageBreakBefore/>
        <w:spacing w:before="240" w:line="256" w:lineRule="auto"/>
        <w:jc w:val="both"/>
        <w:outlineLvl w:val="0"/>
        <w:rPr>
          <w:rFonts w:ascii="Century Gothic" w:eastAsia="Times New Roman" w:hAnsi="Century Gothic" w:cs="Calibri"/>
          <w:bCs/>
          <w:color w:val="2F5496"/>
          <w:sz w:val="32"/>
          <w:szCs w:val="32"/>
        </w:rPr>
      </w:pPr>
      <w:bookmarkStart w:id="48" w:name="_Toc215171527"/>
      <w:bookmarkStart w:id="49" w:name="_Toc230677717"/>
      <w:r w:rsidRPr="009E1782">
        <w:rPr>
          <w:rFonts w:ascii="Century Gothic" w:eastAsia="Times New Roman" w:hAnsi="Century Gothic" w:cs="Calibri"/>
          <w:bCs/>
          <w:color w:val="2F5496"/>
          <w:sz w:val="32"/>
          <w:szCs w:val="32"/>
        </w:rPr>
        <w:lastRenderedPageBreak/>
        <w:t xml:space="preserve">ANEXO II </w:t>
      </w:r>
      <w:r w:rsidR="001B45CF">
        <w:rPr>
          <w:rFonts w:ascii="Century Gothic" w:eastAsia="Times New Roman" w:hAnsi="Century Gothic" w:cs="Calibri"/>
          <w:bCs/>
          <w:color w:val="2F5496"/>
          <w:sz w:val="32"/>
          <w:szCs w:val="32"/>
        </w:rPr>
        <w:t xml:space="preserve">MODALIDAD </w:t>
      </w:r>
      <w:r w:rsidRPr="009E1782">
        <w:rPr>
          <w:rFonts w:ascii="Century Gothic" w:eastAsia="Times New Roman" w:hAnsi="Century Gothic" w:cs="Calibri"/>
          <w:bCs/>
          <w:color w:val="2F5496"/>
          <w:sz w:val="32"/>
          <w:szCs w:val="32"/>
        </w:rPr>
        <w:t>STS: DOCUMENTACIÓN A PRESENTAR</w:t>
      </w:r>
      <w:bookmarkEnd w:id="49"/>
      <w:r w:rsidRPr="009E1782">
        <w:rPr>
          <w:rFonts w:ascii="Century Gothic" w:eastAsia="Times New Roman" w:hAnsi="Century Gothic" w:cs="Calibri"/>
          <w:bCs/>
          <w:color w:val="2F5496"/>
          <w:sz w:val="32"/>
          <w:szCs w:val="32"/>
        </w:rPr>
        <w:t xml:space="preserve"> </w:t>
      </w:r>
      <w:bookmarkEnd w:id="48"/>
    </w:p>
    <w:p w14:paraId="5CCEAB86" w14:textId="77777777" w:rsidR="00D91439" w:rsidRPr="00F23DDA" w:rsidRDefault="00D91439" w:rsidP="00D91439">
      <w:pPr>
        <w:spacing w:line="256" w:lineRule="auto"/>
        <w:rPr>
          <w:rFonts w:ascii="Century Gothic" w:eastAsia="Times New Roman" w:hAnsi="Century Gothic" w:cs="Calibri"/>
          <w:b/>
          <w:color w:val="2F5496"/>
          <w:sz w:val="32"/>
          <w:szCs w:val="32"/>
        </w:rPr>
      </w:pPr>
    </w:p>
    <w:p w14:paraId="7F971755" w14:textId="3E345376" w:rsidR="00D91439" w:rsidRPr="00D54A27" w:rsidRDefault="00D91439" w:rsidP="006965D8">
      <w:pPr>
        <w:numPr>
          <w:ilvl w:val="0"/>
          <w:numId w:val="37"/>
        </w:numPr>
        <w:spacing w:line="256" w:lineRule="auto"/>
        <w:contextualSpacing/>
        <w:jc w:val="both"/>
        <w:rPr>
          <w:rFonts w:ascii="Century Gothic" w:eastAsia="Calibri" w:hAnsi="Century Gothic" w:cs="Arial"/>
          <w:b/>
          <w:bCs/>
          <w:sz w:val="28"/>
          <w:szCs w:val="28"/>
        </w:rPr>
      </w:pPr>
      <w:r w:rsidRPr="001B243F">
        <w:rPr>
          <w:rFonts w:ascii="Century Gothic" w:eastAsia="Calibri" w:hAnsi="Century Gothic" w:cs="Arial"/>
          <w:b/>
          <w:bCs/>
          <w:sz w:val="28"/>
          <w:szCs w:val="28"/>
        </w:rPr>
        <w:t xml:space="preserve">DOCUMENTACIÓN PARA LA SOLICITUD DE UNA AUTORIZACIÓN (TÍTULO HABILITANTE </w:t>
      </w:r>
      <w:r>
        <w:rPr>
          <w:rFonts w:ascii="Century Gothic" w:eastAsia="Calibri" w:hAnsi="Century Gothic" w:cs="Arial"/>
          <w:b/>
          <w:bCs/>
          <w:sz w:val="28"/>
          <w:szCs w:val="28"/>
        </w:rPr>
        <w:t xml:space="preserve">DE SERVICIO COMERCIAL </w:t>
      </w:r>
      <w:r w:rsidRPr="001B243F">
        <w:rPr>
          <w:rFonts w:ascii="Century Gothic" w:eastAsia="Calibri" w:hAnsi="Century Gothic" w:cs="Arial"/>
          <w:b/>
          <w:bCs/>
          <w:sz w:val="28"/>
          <w:szCs w:val="28"/>
        </w:rPr>
        <w:t>CONFORME AL ARTÍCULO 139 DEL TRLPEMM</w:t>
      </w:r>
      <w:r w:rsidR="00D54A27" w:rsidRPr="001B243F">
        <w:rPr>
          <w:rFonts w:ascii="Century Gothic" w:eastAsia="Calibri" w:hAnsi="Century Gothic" w:cs="Arial"/>
          <w:b/>
          <w:bCs/>
          <w:sz w:val="28"/>
          <w:szCs w:val="28"/>
        </w:rPr>
        <w:t>)</w:t>
      </w:r>
      <w:r w:rsidR="00D54A27">
        <w:rPr>
          <w:rFonts w:ascii="Century Gothic" w:eastAsia="Calibri" w:hAnsi="Century Gothic" w:cs="Arial"/>
          <w:b/>
          <w:bCs/>
          <w:sz w:val="28"/>
          <w:szCs w:val="28"/>
        </w:rPr>
        <w:t xml:space="preserve"> - STS</w:t>
      </w:r>
    </w:p>
    <w:p w14:paraId="6267080B" w14:textId="77777777" w:rsidR="00D91439" w:rsidRPr="00A41C52" w:rsidRDefault="00D91439" w:rsidP="00D91439">
      <w:pPr>
        <w:spacing w:line="256" w:lineRule="auto"/>
        <w:rPr>
          <w:rFonts w:ascii="Century Gothic" w:eastAsia="Calibri" w:hAnsi="Century Gothic" w:cs="Arial"/>
        </w:rPr>
      </w:pPr>
    </w:p>
    <w:p w14:paraId="25AC8B0E" w14:textId="413E396A" w:rsidR="00D91439" w:rsidRDefault="00D91439" w:rsidP="008654D2">
      <w:pPr>
        <w:spacing w:line="256" w:lineRule="auto"/>
        <w:jc w:val="both"/>
        <w:rPr>
          <w:rFonts w:ascii="Century Gothic" w:eastAsia="Calibri" w:hAnsi="Century Gothic" w:cs="Arial"/>
        </w:rPr>
      </w:pPr>
      <w:r w:rsidRPr="00A41C52">
        <w:rPr>
          <w:rFonts w:ascii="Century Gothic" w:eastAsia="Calibri" w:hAnsi="Century Gothic" w:cs="Arial"/>
        </w:rPr>
        <w:t xml:space="preserve">Para que </w:t>
      </w:r>
      <w:r w:rsidRPr="00DB7633">
        <w:rPr>
          <w:rFonts w:ascii="Century Gothic" w:eastAsia="Calibri" w:hAnsi="Century Gothic" w:cs="Arial"/>
        </w:rPr>
        <w:t>la Autoridad Portuaria resuelva sobre el otorgamiento de una</w:t>
      </w:r>
      <w:r w:rsidRPr="00DB7633">
        <w:rPr>
          <w:rFonts w:ascii="Century Gothic" w:eastAsia="Calibri" w:hAnsi="Century Gothic" w:cs="Arial"/>
          <w:b/>
          <w:bCs/>
        </w:rPr>
        <w:t xml:space="preserve"> autorización (título habilitante)</w:t>
      </w:r>
      <w:r w:rsidRPr="00A41C52">
        <w:rPr>
          <w:rFonts w:ascii="Century Gothic" w:eastAsia="Calibri" w:hAnsi="Century Gothic" w:cs="Arial"/>
        </w:rPr>
        <w:t xml:space="preserve"> para la prestación del servicio objeto de este PCP, el interesado deberá formular una </w:t>
      </w:r>
      <w:r w:rsidRPr="00DB7633">
        <w:rPr>
          <w:rFonts w:ascii="Century Gothic" w:eastAsia="Calibri" w:hAnsi="Century Gothic" w:cs="Arial"/>
          <w:b/>
          <w:bCs/>
        </w:rPr>
        <w:t xml:space="preserve">solicitud </w:t>
      </w:r>
      <w:r w:rsidR="00DB7633" w:rsidRPr="00DB7633">
        <w:rPr>
          <w:rFonts w:ascii="Century Gothic" w:eastAsia="Calibri" w:hAnsi="Century Gothic" w:cs="Arial"/>
          <w:b/>
          <w:bCs/>
        </w:rPr>
        <w:t>a la Autoridad Portuaria</w:t>
      </w:r>
      <w:r w:rsidR="00DB7633">
        <w:rPr>
          <w:rFonts w:ascii="Century Gothic" w:eastAsia="Calibri" w:hAnsi="Century Gothic" w:cs="Arial"/>
        </w:rPr>
        <w:t xml:space="preserve"> </w:t>
      </w:r>
      <w:r w:rsidR="00417CAC">
        <w:rPr>
          <w:rFonts w:ascii="Century Gothic" w:eastAsia="Calibri" w:hAnsi="Century Gothic" w:cs="Arial"/>
        </w:rPr>
        <w:t xml:space="preserve">conforme al </w:t>
      </w:r>
      <w:r w:rsidR="00417CAC" w:rsidRPr="00417CAC">
        <w:rPr>
          <w:rFonts w:ascii="Century Gothic" w:eastAsia="Calibri" w:hAnsi="Century Gothic" w:cs="Arial"/>
          <w:b/>
          <w:bCs/>
        </w:rPr>
        <w:t>procedimiento que se detalla en el Anexo I – STS</w:t>
      </w:r>
      <w:r w:rsidR="00417CAC">
        <w:rPr>
          <w:rFonts w:ascii="Century Gothic" w:eastAsia="Calibri" w:hAnsi="Century Gothic" w:cs="Arial"/>
        </w:rPr>
        <w:t xml:space="preserve"> del presente PCP con</w:t>
      </w:r>
      <w:r w:rsidRPr="00A41C52">
        <w:rPr>
          <w:rFonts w:ascii="Century Gothic" w:eastAsia="Calibri" w:hAnsi="Century Gothic" w:cs="Arial"/>
        </w:rPr>
        <w:t xml:space="preserve"> los datos señalados en el artículo 66.1 de la Ley 39/2015, de 1 de octubre, de Procedimiento Administrativo Común de las Administraciones Públicas, e irá acompañada de la siguiente documentación: </w:t>
      </w:r>
    </w:p>
    <w:p w14:paraId="78547555" w14:textId="77777777" w:rsidR="00417CAC" w:rsidRDefault="00417CAC" w:rsidP="008654D2">
      <w:pPr>
        <w:spacing w:line="256" w:lineRule="auto"/>
        <w:jc w:val="both"/>
        <w:rPr>
          <w:rFonts w:ascii="Century Gothic" w:eastAsia="Calibri" w:hAnsi="Century Gothic" w:cs="Arial"/>
        </w:rPr>
      </w:pPr>
    </w:p>
    <w:p w14:paraId="4ECB7A82" w14:textId="77777777" w:rsidR="00D91439" w:rsidRPr="00A41C52" w:rsidRDefault="00D91439" w:rsidP="00D91439">
      <w:pPr>
        <w:spacing w:line="256" w:lineRule="auto"/>
        <w:rPr>
          <w:rFonts w:ascii="Century Gothic" w:eastAsia="Calibri" w:hAnsi="Century Gothic" w:cs="Arial"/>
          <w:b/>
          <w:bCs/>
        </w:rPr>
      </w:pPr>
      <w:r w:rsidRPr="00A41C52">
        <w:rPr>
          <w:rFonts w:ascii="Century Gothic" w:eastAsia="Calibri" w:hAnsi="Century Gothic" w:cs="Arial"/>
          <w:b/>
          <w:bCs/>
        </w:rPr>
        <w:t>A. De carácter administrativo</w:t>
      </w:r>
    </w:p>
    <w:p w14:paraId="60E795D6" w14:textId="77777777" w:rsidR="00D91439" w:rsidRPr="004457DF" w:rsidRDefault="00D91439" w:rsidP="006965D8">
      <w:pPr>
        <w:numPr>
          <w:ilvl w:val="0"/>
          <w:numId w:val="38"/>
        </w:numPr>
        <w:spacing w:line="256" w:lineRule="auto"/>
        <w:ind w:left="624" w:hanging="357"/>
        <w:jc w:val="both"/>
        <w:rPr>
          <w:rFonts w:ascii="Century Gothic" w:eastAsia="Calibri" w:hAnsi="Century Gothic" w:cs="Arial"/>
        </w:rPr>
      </w:pPr>
      <w:bookmarkStart w:id="50" w:name="_Hlk217038092"/>
      <w:r w:rsidRPr="004457DF">
        <w:rPr>
          <w:rFonts w:ascii="Century Gothic" w:eastAsia="Calibri" w:hAnsi="Century Gothic" w:cs="Arial"/>
        </w:rPr>
        <w:t xml:space="preserve">Escrito de solicitud, dirigido a la Autoridad Portuaria de </w:t>
      </w:r>
      <w:r w:rsidRPr="004457DF">
        <w:rPr>
          <w:rFonts w:ascii="Century Gothic" w:eastAsia="Calibri" w:hAnsi="Century Gothic" w:cs="Arial"/>
          <w:color w:val="ED0000"/>
        </w:rPr>
        <w:t>XXX</w:t>
      </w:r>
      <w:r w:rsidRPr="004457DF">
        <w:rPr>
          <w:rFonts w:ascii="Century Gothic" w:eastAsia="Calibri" w:hAnsi="Century Gothic" w:cs="Arial"/>
        </w:rPr>
        <w:t xml:space="preserve">, donde se indique la modalidad de suministro STS, </w:t>
      </w:r>
      <w:r>
        <w:rPr>
          <w:rFonts w:ascii="Century Gothic" w:eastAsia="Calibri" w:hAnsi="Century Gothic" w:cs="Arial"/>
        </w:rPr>
        <w:t>i</w:t>
      </w:r>
      <w:r w:rsidRPr="004457DF">
        <w:rPr>
          <w:rFonts w:ascii="Century Gothic" w:eastAsia="Calibri" w:hAnsi="Century Gothic" w:cs="Arial"/>
        </w:rPr>
        <w:t>ndica</w:t>
      </w:r>
      <w:r>
        <w:rPr>
          <w:rFonts w:ascii="Century Gothic" w:eastAsia="Calibri" w:hAnsi="Century Gothic" w:cs="Arial"/>
        </w:rPr>
        <w:t>ndo</w:t>
      </w:r>
      <w:r w:rsidRPr="004457DF">
        <w:rPr>
          <w:rFonts w:ascii="Century Gothic" w:eastAsia="Calibri" w:hAnsi="Century Gothic" w:cs="Arial"/>
        </w:rPr>
        <w:t xml:space="preserve"> el nombre de la persona física o jurídica, el NIF y domicilio</w:t>
      </w:r>
      <w:bookmarkEnd w:id="50"/>
      <w:r w:rsidRPr="004457DF">
        <w:rPr>
          <w:rFonts w:ascii="Century Gothic" w:eastAsia="Calibri" w:hAnsi="Century Gothic" w:cs="Arial"/>
        </w:rPr>
        <w:t>.</w:t>
      </w:r>
    </w:p>
    <w:p w14:paraId="2F6C143A" w14:textId="77777777" w:rsidR="00D91439" w:rsidRPr="00A41C52" w:rsidRDefault="00D91439" w:rsidP="006965D8">
      <w:pPr>
        <w:numPr>
          <w:ilvl w:val="0"/>
          <w:numId w:val="38"/>
        </w:numPr>
        <w:spacing w:line="257" w:lineRule="auto"/>
        <w:ind w:left="624" w:hanging="357"/>
        <w:jc w:val="both"/>
        <w:rPr>
          <w:rFonts w:ascii="Century Gothic" w:eastAsia="Calibri" w:hAnsi="Century Gothic" w:cs="Arial"/>
        </w:rPr>
      </w:pPr>
      <w:r w:rsidRPr="00A41C52">
        <w:rPr>
          <w:rFonts w:ascii="Century Gothic" w:eastAsia="Calibri" w:hAnsi="Century Gothic" w:cs="Arial"/>
        </w:rPr>
        <w:t xml:space="preserve">Documentación acreditativa de la </w:t>
      </w:r>
      <w:r w:rsidRPr="00A41C52">
        <w:rPr>
          <w:rFonts w:ascii="Century Gothic" w:eastAsia="Calibri" w:hAnsi="Century Gothic" w:cs="Arial"/>
          <w:b/>
          <w:bCs/>
        </w:rPr>
        <w:t xml:space="preserve">capacidad de obrar </w:t>
      </w:r>
      <w:r w:rsidRPr="00A41C52">
        <w:rPr>
          <w:rFonts w:ascii="Century Gothic" w:eastAsia="Calibri" w:hAnsi="Century Gothic" w:cs="Arial"/>
        </w:rPr>
        <w:t>del solicitante:</w:t>
      </w:r>
    </w:p>
    <w:p w14:paraId="6050B49C" w14:textId="77777777" w:rsidR="00D91439" w:rsidRPr="00A41C52" w:rsidRDefault="00D91439" w:rsidP="008654D2">
      <w:pPr>
        <w:spacing w:line="256" w:lineRule="auto"/>
        <w:ind w:left="680"/>
        <w:jc w:val="both"/>
        <w:rPr>
          <w:rFonts w:ascii="Century Gothic" w:eastAsia="Calibri" w:hAnsi="Century Gothic" w:cs="Arial"/>
        </w:rPr>
      </w:pPr>
      <w:r w:rsidRPr="00A41C52">
        <w:rPr>
          <w:rFonts w:ascii="Century Gothic" w:eastAsia="Calibri" w:hAnsi="Century Gothic" w:cs="Arial"/>
        </w:rPr>
        <w:t xml:space="preserve">Si se trata de una persona física, documento nacional de identidad o, en el supuesto de ciudadanos extranjeros, el documento equivalente. </w:t>
      </w:r>
    </w:p>
    <w:p w14:paraId="132D9FB6" w14:textId="77777777" w:rsidR="00D91439" w:rsidRPr="00A41C52" w:rsidRDefault="00D91439" w:rsidP="008654D2">
      <w:pPr>
        <w:spacing w:line="256" w:lineRule="auto"/>
        <w:ind w:left="680"/>
        <w:jc w:val="both"/>
        <w:rPr>
          <w:rFonts w:ascii="Century Gothic" w:eastAsia="Calibri" w:hAnsi="Century Gothic" w:cs="Arial"/>
        </w:rPr>
      </w:pPr>
      <w:r w:rsidRPr="00A41C52">
        <w:rPr>
          <w:rFonts w:ascii="Century Gothic" w:eastAsia="Calibri" w:hAnsi="Century Gothic" w:cs="Arial"/>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5854D731" w14:textId="77777777" w:rsidR="00D91439" w:rsidRPr="00A41C52" w:rsidRDefault="00D91439" w:rsidP="008654D2">
      <w:pPr>
        <w:spacing w:line="256" w:lineRule="auto"/>
        <w:ind w:left="680"/>
        <w:jc w:val="both"/>
        <w:rPr>
          <w:rFonts w:ascii="Century Gothic" w:eastAsia="Calibri" w:hAnsi="Century Gothic" w:cs="Arial"/>
        </w:rPr>
      </w:pPr>
      <w:r w:rsidRPr="00A41C52">
        <w:rPr>
          <w:rFonts w:ascii="Century Gothic" w:eastAsia="Calibri" w:hAnsi="Century Gothic" w:cs="Arial"/>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49D056FB" w14:textId="77777777" w:rsidR="00D91439" w:rsidRPr="003C244F" w:rsidRDefault="00D91439" w:rsidP="008654D2">
      <w:pPr>
        <w:spacing w:line="256" w:lineRule="auto"/>
        <w:ind w:left="680"/>
        <w:jc w:val="both"/>
        <w:rPr>
          <w:rFonts w:ascii="Century Gothic" w:eastAsia="Calibri" w:hAnsi="Century Gothic" w:cs="Arial"/>
        </w:rPr>
      </w:pPr>
      <w:r w:rsidRPr="00A41C52">
        <w:rPr>
          <w:rFonts w:ascii="Century Gothic" w:eastAsia="Calibri" w:hAnsi="Century Gothic" w:cs="Arial"/>
        </w:rPr>
        <w:t xml:space="preserve">Si los documentos aportados no están otorgados en España (por ser documentos que acrediten la existencia y personalidad de una entidad extranjera, su inscripción en el registro procedente, etc.), los mismos deben ir </w:t>
      </w:r>
      <w:r w:rsidRPr="00A41C52">
        <w:rPr>
          <w:rFonts w:ascii="Century Gothic" w:eastAsia="Calibri" w:hAnsi="Century Gothic" w:cs="Arial"/>
        </w:rPr>
        <w:lastRenderedPageBreak/>
        <w:t xml:space="preserve">acompañados de traducción oficial al castellano realizada por un traductor jurado o a través de representaciones consulares o diplomáticas, y también deben ir acompañados de una certificación de autenticidad mediante copias legalizadas, por la representación diplomática </w:t>
      </w:r>
      <w:r w:rsidRPr="003C244F">
        <w:rPr>
          <w:rFonts w:ascii="Century Gothic" w:eastAsia="Calibri" w:hAnsi="Century Gothic" w:cs="Arial"/>
        </w:rPr>
        <w:t xml:space="preserve">correspondiente o mediante apostilla de La Haya. </w:t>
      </w:r>
    </w:p>
    <w:p w14:paraId="58A5AF67" w14:textId="77777777" w:rsidR="00D91439" w:rsidRPr="003C244F" w:rsidRDefault="00D91439" w:rsidP="006965D8">
      <w:pPr>
        <w:numPr>
          <w:ilvl w:val="0"/>
          <w:numId w:val="38"/>
        </w:numPr>
        <w:spacing w:line="256" w:lineRule="auto"/>
        <w:ind w:left="510"/>
        <w:jc w:val="both"/>
        <w:rPr>
          <w:rFonts w:ascii="Century Gothic" w:eastAsia="Calibri" w:hAnsi="Century Gothic" w:cs="Arial"/>
        </w:rPr>
      </w:pPr>
      <w:r w:rsidRPr="003C244F">
        <w:rPr>
          <w:rFonts w:ascii="Century Gothic" w:eastAsia="Calibri" w:hAnsi="Century Gothic" w:cs="Arial"/>
        </w:rPr>
        <w:t xml:space="preserve">Documentos que </w:t>
      </w:r>
      <w:r w:rsidRPr="003C244F">
        <w:rPr>
          <w:rFonts w:ascii="Century Gothic" w:eastAsia="Calibri" w:hAnsi="Century Gothic" w:cs="Arial"/>
          <w:b/>
          <w:bCs/>
        </w:rPr>
        <w:t>acrediten la representación</w:t>
      </w:r>
      <w:r w:rsidRPr="003C244F">
        <w:rPr>
          <w:rFonts w:ascii="Century Gothic" w:eastAsia="Calibri" w:hAnsi="Century Gothic" w:cs="Arial"/>
        </w:rPr>
        <w:t xml:space="preserve">. 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 </w:t>
      </w:r>
    </w:p>
    <w:p w14:paraId="6746E28D" w14:textId="77777777" w:rsidR="00D91439" w:rsidRPr="003C244F" w:rsidRDefault="00D91439" w:rsidP="006965D8">
      <w:pPr>
        <w:numPr>
          <w:ilvl w:val="0"/>
          <w:numId w:val="38"/>
        </w:numPr>
        <w:spacing w:line="256" w:lineRule="auto"/>
        <w:ind w:left="510"/>
        <w:jc w:val="both"/>
        <w:rPr>
          <w:rFonts w:ascii="Century Gothic" w:eastAsia="Calibri" w:hAnsi="Century Gothic" w:cs="Arial"/>
        </w:rPr>
      </w:pPr>
      <w:r w:rsidRPr="003C244F">
        <w:rPr>
          <w:rFonts w:ascii="Century Gothic" w:eastAsia="Calibri" w:hAnsi="Century Gothic" w:cs="Arial"/>
          <w:b/>
          <w:bCs/>
        </w:rPr>
        <w:t>Designación de un representante</w:t>
      </w:r>
      <w:r w:rsidRPr="003C244F">
        <w:rPr>
          <w:rFonts w:ascii="Century Gothic" w:eastAsia="Calibri" w:hAnsi="Century Gothic" w:cs="Arial"/>
        </w:rPr>
        <w:t xml:space="preserve">, con facultades suficientes y con oficina en España a los efectos de establecer una comunicación regular con la Autoridad Portuaria. </w:t>
      </w:r>
    </w:p>
    <w:p w14:paraId="256E16C9" w14:textId="77777777" w:rsidR="00D91439" w:rsidRPr="003C244F" w:rsidRDefault="00D91439" w:rsidP="006965D8">
      <w:pPr>
        <w:numPr>
          <w:ilvl w:val="0"/>
          <w:numId w:val="38"/>
        </w:numPr>
        <w:spacing w:line="256" w:lineRule="auto"/>
        <w:ind w:left="510"/>
        <w:jc w:val="both"/>
        <w:rPr>
          <w:rFonts w:ascii="Century Gothic" w:eastAsia="Calibri" w:hAnsi="Century Gothic" w:cs="Arial"/>
        </w:rPr>
      </w:pPr>
      <w:r w:rsidRPr="003C244F">
        <w:rPr>
          <w:rFonts w:ascii="Century Gothic" w:eastAsia="Calibri" w:hAnsi="Century Gothic" w:cs="Arial"/>
        </w:rPr>
        <w:t xml:space="preserve">Sendas certificaciones acreditativas del cumplimiento de las obligaciones de carácter </w:t>
      </w:r>
      <w:r w:rsidRPr="003C244F">
        <w:rPr>
          <w:rFonts w:ascii="Century Gothic" w:eastAsia="Calibri" w:hAnsi="Century Gothic" w:cs="Arial"/>
          <w:b/>
          <w:bCs/>
        </w:rPr>
        <w:t xml:space="preserve">fiscal y laboral por la Administración Tributaria y de la Seguridad Social. </w:t>
      </w:r>
    </w:p>
    <w:p w14:paraId="6E1369EB" w14:textId="77777777" w:rsidR="00D91439" w:rsidRPr="00A41C52" w:rsidRDefault="00D91439" w:rsidP="006965D8">
      <w:pPr>
        <w:numPr>
          <w:ilvl w:val="0"/>
          <w:numId w:val="38"/>
        </w:numPr>
        <w:spacing w:line="256" w:lineRule="auto"/>
        <w:ind w:left="510"/>
        <w:jc w:val="both"/>
        <w:rPr>
          <w:rFonts w:ascii="Century Gothic" w:eastAsia="Calibri" w:hAnsi="Century Gothic" w:cs="Arial"/>
        </w:rPr>
      </w:pPr>
      <w:r w:rsidRPr="003C244F">
        <w:rPr>
          <w:rFonts w:ascii="Century Gothic" w:eastAsia="Calibri" w:hAnsi="Century Gothic" w:cs="Arial"/>
        </w:rPr>
        <w:t xml:space="preserve">Declaración responsable de no encontrarse en ningún caso de las circunstancias del </w:t>
      </w:r>
      <w:r w:rsidRPr="003C244F">
        <w:rPr>
          <w:rFonts w:ascii="Century Gothic" w:eastAsia="Calibri" w:hAnsi="Century Gothic" w:cs="Arial"/>
          <w:b/>
          <w:bCs/>
        </w:rPr>
        <w:t>artículo 71</w:t>
      </w:r>
      <w:r w:rsidRPr="003C244F">
        <w:rPr>
          <w:rFonts w:ascii="Century Gothic" w:eastAsia="Calibri" w:hAnsi="Century Gothic" w:cs="Arial"/>
        </w:rPr>
        <w:t xml:space="preserve"> de la Ley de Contratos del Sector Público (Ley 9/2017, de 8 de noviembre</w:t>
      </w:r>
      <w:r w:rsidRPr="00A41C52">
        <w:rPr>
          <w:rFonts w:ascii="Century Gothic" w:eastAsia="Calibri" w:hAnsi="Century Gothic" w:cs="Arial"/>
        </w:rPr>
        <w:t xml:space="preserve">, de Contratos del Sector Público, por la que se transponen al ordenamiento jurídico español las Directivas del Parlamento Europeo y del Consejo 2014/23/UE y 2014/24/UE, de 26 de febrero de 2014) y de disponer de los </w:t>
      </w:r>
      <w:r w:rsidRPr="00A41C52">
        <w:rPr>
          <w:rFonts w:ascii="Century Gothic" w:eastAsia="Calibri" w:hAnsi="Century Gothic" w:cs="Arial"/>
          <w:b/>
          <w:bCs/>
        </w:rPr>
        <w:t xml:space="preserve">permisos, </w:t>
      </w:r>
      <w:r w:rsidRPr="00227A33">
        <w:rPr>
          <w:rFonts w:ascii="Century Gothic" w:eastAsia="Calibri" w:hAnsi="Century Gothic" w:cs="Arial"/>
          <w:b/>
          <w:bCs/>
        </w:rPr>
        <w:t>autorizaciones</w:t>
      </w:r>
      <w:r w:rsidRPr="00A41C52">
        <w:rPr>
          <w:rFonts w:ascii="Century Gothic" w:eastAsia="Calibri" w:hAnsi="Century Gothic" w:cs="Arial"/>
          <w:b/>
          <w:bCs/>
        </w:rPr>
        <w:t xml:space="preserve"> y licencias</w:t>
      </w:r>
      <w:r w:rsidRPr="00A41C52">
        <w:rPr>
          <w:rFonts w:ascii="Century Gothic" w:eastAsia="Calibri" w:hAnsi="Century Gothic" w:cs="Arial"/>
        </w:rPr>
        <w:t xml:space="preserve"> legalmente exigibles para el ejercicio de la actividad. </w:t>
      </w:r>
    </w:p>
    <w:p w14:paraId="79D35993" w14:textId="77777777" w:rsidR="00D91439" w:rsidRDefault="00D91439" w:rsidP="006965D8">
      <w:pPr>
        <w:numPr>
          <w:ilvl w:val="0"/>
          <w:numId w:val="38"/>
        </w:numPr>
        <w:spacing w:line="256" w:lineRule="auto"/>
        <w:ind w:left="510"/>
        <w:jc w:val="both"/>
        <w:rPr>
          <w:rFonts w:ascii="Century Gothic" w:eastAsia="Calibri" w:hAnsi="Century Gothic" w:cs="Arial"/>
        </w:rPr>
      </w:pPr>
      <w:r w:rsidRPr="00A41C52">
        <w:rPr>
          <w:rFonts w:ascii="Century Gothic" w:eastAsia="Calibri" w:hAnsi="Century Gothic" w:cs="Arial"/>
        </w:rPr>
        <w:t xml:space="preserve">Declaración responsable de </w:t>
      </w:r>
      <w:r w:rsidRPr="00227A33">
        <w:rPr>
          <w:rFonts w:ascii="Century Gothic" w:eastAsia="Calibri" w:hAnsi="Century Gothic" w:cs="Arial"/>
        </w:rPr>
        <w:t>cumplir y mantener</w:t>
      </w:r>
      <w:r w:rsidRPr="00A41C52">
        <w:rPr>
          <w:rFonts w:ascii="Century Gothic" w:eastAsia="Calibri" w:hAnsi="Century Gothic" w:cs="Arial"/>
        </w:rPr>
        <w:t xml:space="preserve"> a lo largo de la vigencia de la autorización, los requisitos y condiciones exigidas en el </w:t>
      </w:r>
      <w:r w:rsidRPr="00227A33">
        <w:rPr>
          <w:rFonts w:ascii="Century Gothic" w:eastAsia="Calibri" w:hAnsi="Century Gothic" w:cs="Arial"/>
        </w:rPr>
        <w:t>Reglamento UE 2017/352, e</w:t>
      </w:r>
      <w:r w:rsidRPr="00A41C52">
        <w:rPr>
          <w:rFonts w:ascii="Century Gothic" w:eastAsia="Calibri" w:hAnsi="Century Gothic" w:cs="Arial"/>
          <w:b/>
          <w:bCs/>
        </w:rPr>
        <w:t>l TRLPEMM, el PCP</w:t>
      </w:r>
      <w:r w:rsidRPr="00A41C52">
        <w:rPr>
          <w:rFonts w:ascii="Century Gothic" w:eastAsia="Calibri" w:hAnsi="Century Gothic" w:cs="Arial"/>
        </w:rPr>
        <w:t xml:space="preserve"> y </w:t>
      </w:r>
      <w:r w:rsidRPr="00A41C52">
        <w:rPr>
          <w:rFonts w:ascii="Century Gothic" w:eastAsia="Calibri" w:hAnsi="Century Gothic" w:cs="Arial"/>
          <w:b/>
          <w:bCs/>
        </w:rPr>
        <w:t>en la autorización</w:t>
      </w:r>
      <w:r w:rsidRPr="00A41C52">
        <w:rPr>
          <w:rFonts w:ascii="Century Gothic" w:eastAsia="Calibri" w:hAnsi="Century Gothic" w:cs="Arial"/>
        </w:rPr>
        <w:t xml:space="preserve"> de servicio.</w:t>
      </w:r>
    </w:p>
    <w:p w14:paraId="3C204A53" w14:textId="77777777" w:rsidR="00D91439" w:rsidRPr="00A41C52" w:rsidRDefault="00D91439" w:rsidP="006965D8">
      <w:pPr>
        <w:numPr>
          <w:ilvl w:val="0"/>
          <w:numId w:val="38"/>
        </w:numPr>
        <w:spacing w:line="256" w:lineRule="auto"/>
        <w:ind w:left="510"/>
        <w:jc w:val="both"/>
        <w:rPr>
          <w:rFonts w:ascii="Century Gothic" w:eastAsia="Calibri" w:hAnsi="Century Gothic" w:cs="Arial"/>
        </w:rPr>
      </w:pPr>
      <w:r w:rsidRPr="00A41C52">
        <w:rPr>
          <w:rFonts w:ascii="Century Gothic" w:eastAsia="Calibri" w:hAnsi="Century Gothic" w:cs="Arial"/>
        </w:rPr>
        <w:t xml:space="preserve">Declaración de someterse a la </w:t>
      </w:r>
      <w:r w:rsidRPr="00227A33">
        <w:rPr>
          <w:rFonts w:ascii="Century Gothic" w:eastAsia="Calibri" w:hAnsi="Century Gothic" w:cs="Arial"/>
        </w:rPr>
        <w:t>jurisdicción</w:t>
      </w:r>
      <w:r w:rsidRPr="00A41C52">
        <w:rPr>
          <w:rFonts w:ascii="Century Gothic" w:eastAsia="Calibri" w:hAnsi="Century Gothic" w:cs="Arial"/>
        </w:rPr>
        <w:t xml:space="preserve"> de los Juzgados y Tribunales españoles de cualquier orden para todas las incidencias que, de modo directo o indirecto, pudieran surgir de la autorización concedida, con renuncia, en su caso, al fuero jurisdiccional extranjero que pudiera corresponder al solicitante. Los solicitantes españoles no deberán presentar tal declaración.</w:t>
      </w:r>
    </w:p>
    <w:p w14:paraId="3DD0179D" w14:textId="77777777" w:rsidR="00D91439" w:rsidRPr="00A41C52" w:rsidRDefault="00D91439" w:rsidP="00D91439">
      <w:pPr>
        <w:spacing w:line="256" w:lineRule="auto"/>
        <w:ind w:left="720"/>
        <w:rPr>
          <w:rFonts w:ascii="Century Gothic" w:eastAsia="Calibri" w:hAnsi="Century Gothic" w:cs="Arial"/>
        </w:rPr>
      </w:pPr>
    </w:p>
    <w:p w14:paraId="7326A41E" w14:textId="77777777" w:rsidR="00D91439" w:rsidRPr="00001E9C" w:rsidRDefault="00D91439" w:rsidP="00D91439">
      <w:pPr>
        <w:spacing w:line="256" w:lineRule="auto"/>
        <w:rPr>
          <w:rFonts w:ascii="Century Gothic" w:eastAsia="Calibri" w:hAnsi="Century Gothic" w:cs="Arial"/>
        </w:rPr>
      </w:pPr>
      <w:r w:rsidRPr="00A41C52">
        <w:rPr>
          <w:rFonts w:ascii="Century Gothic" w:eastAsia="Calibri" w:hAnsi="Century Gothic" w:cs="Arial"/>
          <w:b/>
          <w:bCs/>
        </w:rPr>
        <w:t xml:space="preserve">B. De </w:t>
      </w:r>
      <w:r w:rsidRPr="00001E9C">
        <w:rPr>
          <w:rFonts w:ascii="Century Gothic" w:eastAsia="Calibri" w:hAnsi="Century Gothic" w:cs="Arial"/>
          <w:b/>
          <w:bCs/>
        </w:rPr>
        <w:t>carácter económico-financiero</w:t>
      </w:r>
    </w:p>
    <w:p w14:paraId="2C731B0B" w14:textId="77777777" w:rsidR="00D91439" w:rsidRPr="00001E9C" w:rsidRDefault="00D91439" w:rsidP="006965D8">
      <w:pPr>
        <w:numPr>
          <w:ilvl w:val="0"/>
          <w:numId w:val="39"/>
        </w:numPr>
        <w:spacing w:line="257" w:lineRule="auto"/>
        <w:ind w:left="584" w:hanging="357"/>
        <w:jc w:val="both"/>
        <w:rPr>
          <w:rFonts w:ascii="Century Gothic" w:eastAsia="Calibri" w:hAnsi="Century Gothic" w:cs="Arial"/>
        </w:rPr>
      </w:pPr>
      <w:r w:rsidRPr="00001E9C">
        <w:rPr>
          <w:rFonts w:ascii="Century Gothic" w:eastAsia="Calibri" w:hAnsi="Century Gothic" w:cs="Arial"/>
        </w:rPr>
        <w:t>Declaración responsable de constituir, antes del inicio de la actividad, la</w:t>
      </w:r>
      <w:r w:rsidRPr="00001E9C">
        <w:rPr>
          <w:rFonts w:ascii="Century Gothic" w:eastAsia="Calibri" w:hAnsi="Century Gothic" w:cs="Arial"/>
          <w:b/>
          <w:bCs/>
        </w:rPr>
        <w:t xml:space="preserve"> </w:t>
      </w:r>
      <w:r w:rsidRPr="00001E9C">
        <w:rPr>
          <w:rFonts w:ascii="Century Gothic" w:eastAsia="Calibri" w:hAnsi="Century Gothic" w:cs="Arial"/>
          <w:bCs/>
        </w:rPr>
        <w:t>garantía</w:t>
      </w:r>
      <w:r w:rsidRPr="00001E9C">
        <w:rPr>
          <w:rFonts w:ascii="Century Gothic" w:eastAsia="Calibri" w:hAnsi="Century Gothic" w:cs="Arial"/>
          <w:b/>
          <w:bCs/>
        </w:rPr>
        <w:t xml:space="preserve"> </w:t>
      </w:r>
      <w:r w:rsidRPr="00001E9C">
        <w:rPr>
          <w:rFonts w:ascii="Century Gothic" w:eastAsia="Calibri" w:hAnsi="Century Gothic" w:cs="Arial"/>
        </w:rPr>
        <w:t>exigida en la Condición 8ª y de presentar la documentación acreditativa una vez constituida.</w:t>
      </w:r>
    </w:p>
    <w:p w14:paraId="56E1507C" w14:textId="77777777" w:rsidR="00D91439" w:rsidRPr="00001E9C" w:rsidRDefault="00D91439" w:rsidP="006965D8">
      <w:pPr>
        <w:numPr>
          <w:ilvl w:val="0"/>
          <w:numId w:val="39"/>
        </w:numPr>
        <w:spacing w:line="257" w:lineRule="auto"/>
        <w:ind w:left="584" w:hanging="357"/>
        <w:jc w:val="both"/>
        <w:rPr>
          <w:rFonts w:ascii="Century Gothic" w:eastAsia="Calibri" w:hAnsi="Century Gothic" w:cs="Arial"/>
        </w:rPr>
      </w:pPr>
      <w:r w:rsidRPr="00001E9C">
        <w:rPr>
          <w:rFonts w:ascii="Century Gothic" w:eastAsia="Calibri" w:hAnsi="Century Gothic" w:cs="Arial"/>
        </w:rPr>
        <w:t xml:space="preserve">Declaración responsable de contratar, </w:t>
      </w:r>
      <w:r w:rsidRPr="00001E9C">
        <w:rPr>
          <w:rFonts w:ascii="Century Gothic" w:eastAsia="Calibri" w:hAnsi="Century Gothic" w:cs="Arial"/>
          <w:bCs/>
        </w:rPr>
        <w:t>antes del inicio de la actividad,</w:t>
      </w:r>
      <w:r w:rsidRPr="00001E9C">
        <w:rPr>
          <w:rFonts w:ascii="Century Gothic" w:eastAsia="Calibri" w:hAnsi="Century Gothic" w:cs="Arial"/>
          <w:b/>
          <w:bCs/>
        </w:rPr>
        <w:t xml:space="preserve"> </w:t>
      </w:r>
      <w:r w:rsidRPr="00001E9C">
        <w:rPr>
          <w:rFonts w:ascii="Century Gothic" w:eastAsia="Calibri" w:hAnsi="Century Gothic" w:cs="Arial"/>
        </w:rPr>
        <w:t xml:space="preserve">un </w:t>
      </w:r>
      <w:r w:rsidRPr="00001E9C">
        <w:rPr>
          <w:rFonts w:ascii="Century Gothic" w:eastAsia="Calibri" w:hAnsi="Century Gothic" w:cs="Arial"/>
          <w:b/>
          <w:bCs/>
        </w:rPr>
        <w:t xml:space="preserve">seguro de responsabilidad civil </w:t>
      </w:r>
      <w:r w:rsidRPr="00001E9C">
        <w:rPr>
          <w:rFonts w:ascii="Century Gothic" w:eastAsia="Calibri" w:hAnsi="Century Gothic" w:cs="Arial"/>
        </w:rPr>
        <w:t xml:space="preserve">que cubra los riesgos propios de la prestación del servicio por la cantidad mínima establecida en la Condición 6ª y de presentar la documentación acreditativa una vez contratado. </w:t>
      </w:r>
    </w:p>
    <w:p w14:paraId="1CD97692" w14:textId="77777777" w:rsidR="00D91439" w:rsidRPr="00001E9C" w:rsidRDefault="00D91439" w:rsidP="00D91439">
      <w:pPr>
        <w:autoSpaceDE w:val="0"/>
        <w:autoSpaceDN w:val="0"/>
        <w:adjustRightInd w:val="0"/>
        <w:rPr>
          <w:rFonts w:ascii="Century Gothic" w:hAnsi="Century Gothic" w:cs="Calibri"/>
          <w:color w:val="000000"/>
          <w:lang w:val="ca-ES"/>
        </w:rPr>
      </w:pPr>
    </w:p>
    <w:p w14:paraId="5DA68A7E" w14:textId="77777777" w:rsidR="00D91439" w:rsidRPr="00001E9C" w:rsidRDefault="00D91439" w:rsidP="006965D8">
      <w:pPr>
        <w:numPr>
          <w:ilvl w:val="0"/>
          <w:numId w:val="39"/>
        </w:numPr>
        <w:spacing w:line="240" w:lineRule="auto"/>
        <w:ind w:left="641" w:hanging="357"/>
        <w:jc w:val="both"/>
        <w:rPr>
          <w:rFonts w:ascii="Century Gothic" w:eastAsia="Calibri" w:hAnsi="Century Gothic" w:cs="Times New Roman"/>
          <w:b/>
        </w:rPr>
      </w:pPr>
      <w:r w:rsidRPr="00001E9C">
        <w:rPr>
          <w:rFonts w:ascii="Century Gothic" w:eastAsia="Calibri" w:hAnsi="Century Gothic" w:cs="Arial"/>
        </w:rPr>
        <w:lastRenderedPageBreak/>
        <w:t xml:space="preserve">Declaración responsable </w:t>
      </w:r>
      <w:r w:rsidRPr="00001E9C">
        <w:rPr>
          <w:rFonts w:ascii="Century Gothic" w:eastAsia="Calibri" w:hAnsi="Century Gothic" w:cs="Arial"/>
          <w:bCs/>
        </w:rPr>
        <w:t xml:space="preserve">de presentar, antes del inicio de la actividad, la documentación acreditativa de disponer de la </w:t>
      </w:r>
      <w:r w:rsidRPr="00001E9C">
        <w:rPr>
          <w:rFonts w:ascii="Century Gothic" w:eastAsia="Calibri" w:hAnsi="Century Gothic" w:cs="Arial"/>
          <w:b/>
        </w:rPr>
        <w:t xml:space="preserve">garantía financiera medioambiental </w:t>
      </w:r>
      <w:r w:rsidRPr="00001E9C">
        <w:rPr>
          <w:rFonts w:ascii="Century Gothic" w:eastAsia="Calibri" w:hAnsi="Century Gothic" w:cs="Arial"/>
          <w:bCs/>
        </w:rPr>
        <w:t xml:space="preserve">que en su caso resulte. Esta garantía podrá estar incluida en el seguro de responsabilidad civil. </w:t>
      </w:r>
    </w:p>
    <w:p w14:paraId="26188B45" w14:textId="77777777" w:rsidR="00D91439" w:rsidRPr="00A41C52" w:rsidRDefault="00D91439" w:rsidP="00D91439">
      <w:pPr>
        <w:spacing w:line="256" w:lineRule="auto"/>
        <w:rPr>
          <w:rFonts w:ascii="Century Gothic" w:eastAsia="Calibri" w:hAnsi="Century Gothic" w:cs="Arial"/>
        </w:rPr>
      </w:pPr>
      <w:r w:rsidRPr="00A41C52">
        <w:rPr>
          <w:rFonts w:ascii="Century Gothic" w:eastAsia="Calibri" w:hAnsi="Century Gothic" w:cs="Arial"/>
          <w:b/>
          <w:bCs/>
        </w:rPr>
        <w:t>C. De carácter técnico</w:t>
      </w:r>
    </w:p>
    <w:p w14:paraId="16A3A891" w14:textId="77777777" w:rsidR="00D91439" w:rsidRPr="00A41C52" w:rsidRDefault="00D91439" w:rsidP="00D91439">
      <w:pPr>
        <w:spacing w:line="256" w:lineRule="auto"/>
        <w:ind w:left="360"/>
        <w:rPr>
          <w:rFonts w:ascii="Century Gothic" w:eastAsia="Calibri" w:hAnsi="Century Gothic" w:cs="Arial"/>
        </w:rPr>
      </w:pPr>
      <w:r w:rsidRPr="00227A33">
        <w:rPr>
          <w:rFonts w:ascii="Century Gothic" w:eastAsia="Calibri" w:hAnsi="Century Gothic" w:cs="Arial"/>
        </w:rPr>
        <w:t>C.1</w:t>
      </w:r>
      <w:r w:rsidRPr="00A41C52">
        <w:rPr>
          <w:rFonts w:ascii="Century Gothic" w:eastAsia="Calibri" w:hAnsi="Century Gothic" w:cs="Arial"/>
          <w:b/>
          <w:bCs/>
        </w:rPr>
        <w:t>.</w:t>
      </w:r>
      <w:r w:rsidRPr="00A41C52">
        <w:rPr>
          <w:rFonts w:ascii="Century Gothic" w:eastAsia="Calibri" w:hAnsi="Century Gothic" w:cs="Arial"/>
          <w:b/>
          <w:bCs/>
        </w:rPr>
        <w:tab/>
        <w:t>Memoria de Métodos del servicio</w:t>
      </w:r>
      <w:r w:rsidRPr="00A41C52">
        <w:rPr>
          <w:rFonts w:ascii="Century Gothic" w:eastAsia="Calibri" w:hAnsi="Century Gothic" w:cs="Arial"/>
        </w:rPr>
        <w:t xml:space="preserve">, con descripción detallada de: </w:t>
      </w:r>
    </w:p>
    <w:p w14:paraId="1F8675A1" w14:textId="77777777" w:rsidR="00D91439" w:rsidRDefault="00D91439" w:rsidP="006965D8">
      <w:pPr>
        <w:numPr>
          <w:ilvl w:val="0"/>
          <w:numId w:val="40"/>
        </w:numPr>
        <w:spacing w:line="256" w:lineRule="auto"/>
        <w:ind w:left="1276" w:hanging="142"/>
        <w:contextualSpacing/>
        <w:jc w:val="both"/>
        <w:rPr>
          <w:rFonts w:ascii="Century Gothic" w:eastAsia="Calibri" w:hAnsi="Century Gothic" w:cs="Calibri"/>
        </w:rPr>
      </w:pPr>
      <w:r w:rsidRPr="00A41C52">
        <w:rPr>
          <w:rFonts w:ascii="Century Gothic" w:eastAsia="Calibri" w:hAnsi="Century Gothic" w:cs="Calibri"/>
        </w:rPr>
        <w:t xml:space="preserve">Acreditación de la </w:t>
      </w:r>
      <w:r w:rsidRPr="006965D8">
        <w:rPr>
          <w:rFonts w:ascii="Century Gothic" w:eastAsia="Calibri" w:hAnsi="Century Gothic" w:cs="Calibri"/>
          <w:b/>
          <w:bCs/>
        </w:rPr>
        <w:t>solvencia y experiencia profesional y técnica</w:t>
      </w:r>
      <w:r w:rsidRPr="00A41C52">
        <w:rPr>
          <w:rFonts w:ascii="Century Gothic" w:eastAsia="Calibri" w:hAnsi="Century Gothic" w:cs="Calibri"/>
        </w:rPr>
        <w:t xml:space="preserve"> en el sector del GNL del prestador del servicio que solicita la autorización comercial, con objeto de garantizar la solvencia y competencia necesaria para llevar a cabo las operaciones. La solvencia técnica también puede demostrarse a través de experiencia profesional y técnica de las empresas subcontratadas. En el supuesto de que los medios marítimos adscritos al servicio no fueran propiedad del solicitante, se aportarán los </w:t>
      </w:r>
      <w:r w:rsidRPr="00A41C52">
        <w:rPr>
          <w:rFonts w:ascii="Century Gothic" w:eastAsia="Calibri" w:hAnsi="Century Gothic" w:cs="Calibri"/>
          <w:b/>
          <w:bCs/>
        </w:rPr>
        <w:t>contratos de arrendamiento o fletamento</w:t>
      </w:r>
      <w:r w:rsidRPr="00A41C52">
        <w:rPr>
          <w:rFonts w:ascii="Century Gothic" w:eastAsia="Calibri" w:hAnsi="Century Gothic" w:cs="Calibri"/>
        </w:rPr>
        <w:t xml:space="preserve"> correspondientes.</w:t>
      </w:r>
    </w:p>
    <w:p w14:paraId="045B68C0" w14:textId="77777777" w:rsidR="00D91439" w:rsidRPr="00A41C52" w:rsidRDefault="00D91439" w:rsidP="00D91439">
      <w:pPr>
        <w:spacing w:line="256" w:lineRule="auto"/>
        <w:ind w:left="1276"/>
        <w:contextualSpacing/>
        <w:rPr>
          <w:rFonts w:ascii="Century Gothic" w:eastAsia="Calibri" w:hAnsi="Century Gothic" w:cs="Calibri"/>
        </w:rPr>
      </w:pPr>
    </w:p>
    <w:p w14:paraId="41CE3743" w14:textId="17107E39" w:rsidR="00D91439" w:rsidRDefault="00D91439" w:rsidP="006965D8">
      <w:pPr>
        <w:numPr>
          <w:ilvl w:val="0"/>
          <w:numId w:val="40"/>
        </w:numPr>
        <w:spacing w:line="256" w:lineRule="auto"/>
        <w:ind w:left="1276" w:hanging="142"/>
        <w:contextualSpacing/>
        <w:jc w:val="both"/>
        <w:rPr>
          <w:rFonts w:ascii="Century Gothic" w:eastAsia="Calibri" w:hAnsi="Century Gothic" w:cs="Calibri"/>
        </w:rPr>
      </w:pPr>
      <w:r w:rsidRPr="00AF6480">
        <w:rPr>
          <w:rFonts w:ascii="Century Gothic" w:eastAsia="Calibri" w:hAnsi="Century Gothic" w:cs="Calibri"/>
          <w:b/>
          <w:bCs/>
        </w:rPr>
        <w:t>Medios</w:t>
      </w:r>
      <w:r w:rsidRPr="00A41C52">
        <w:rPr>
          <w:rFonts w:ascii="Century Gothic" w:eastAsia="Calibri" w:hAnsi="Century Gothic" w:cs="Calibri"/>
        </w:rPr>
        <w:t xml:space="preserve"> que se pondrán a disposición para el suministro en el puerto de </w:t>
      </w:r>
      <w:r w:rsidRPr="00A41C52">
        <w:rPr>
          <w:rFonts w:ascii="Century Gothic" w:eastAsia="Calibri" w:hAnsi="Century Gothic" w:cs="Calibri"/>
          <w:color w:val="FF0000"/>
        </w:rPr>
        <w:t>XXXX</w:t>
      </w:r>
      <w:r w:rsidRPr="00A41C52">
        <w:rPr>
          <w:rFonts w:ascii="Century Gothic" w:eastAsia="Calibri" w:hAnsi="Century Gothic" w:cs="Calibri"/>
        </w:rPr>
        <w:t>, tanto si son propios como subcontratados</w:t>
      </w:r>
      <w:r w:rsidR="00FB5966">
        <w:rPr>
          <w:rFonts w:ascii="Century Gothic" w:eastAsia="Calibri" w:hAnsi="Century Gothic" w:cs="Calibri"/>
        </w:rPr>
        <w:t>, identificación y descripción de características principales</w:t>
      </w:r>
      <w:r w:rsidRPr="00A41C52">
        <w:rPr>
          <w:rFonts w:ascii="Century Gothic" w:eastAsia="Calibri" w:hAnsi="Century Gothic" w:cs="Calibri"/>
        </w:rPr>
        <w:t>.</w:t>
      </w:r>
    </w:p>
    <w:p w14:paraId="1F2AD0F2" w14:textId="77777777" w:rsidR="00D91439" w:rsidRPr="00A41C52" w:rsidRDefault="00D91439" w:rsidP="00D91439">
      <w:pPr>
        <w:spacing w:line="256" w:lineRule="auto"/>
        <w:contextualSpacing/>
        <w:rPr>
          <w:rFonts w:ascii="Century Gothic" w:eastAsia="Calibri" w:hAnsi="Century Gothic" w:cs="Calibri"/>
        </w:rPr>
      </w:pPr>
    </w:p>
    <w:p w14:paraId="489E91F4" w14:textId="77777777" w:rsidR="00D91439" w:rsidRPr="00A41C52" w:rsidRDefault="00D91439" w:rsidP="006965D8">
      <w:pPr>
        <w:numPr>
          <w:ilvl w:val="0"/>
          <w:numId w:val="40"/>
        </w:numPr>
        <w:spacing w:line="256" w:lineRule="auto"/>
        <w:ind w:left="1276" w:hanging="142"/>
        <w:contextualSpacing/>
        <w:jc w:val="both"/>
        <w:rPr>
          <w:rFonts w:ascii="Century Gothic" w:eastAsia="Calibri" w:hAnsi="Century Gothic" w:cs="Arial"/>
        </w:rPr>
      </w:pPr>
      <w:r w:rsidRPr="00016AEA">
        <w:rPr>
          <w:rFonts w:ascii="Century Gothic" w:eastAsia="Calibri" w:hAnsi="Century Gothic" w:cs="Arial"/>
          <w:b/>
          <w:bCs/>
        </w:rPr>
        <w:t>Plan de organización</w:t>
      </w:r>
      <w:r w:rsidRPr="00A41C52">
        <w:rPr>
          <w:rFonts w:ascii="Century Gothic" w:eastAsia="Calibri" w:hAnsi="Century Gothic" w:cs="Arial"/>
        </w:rPr>
        <w:t xml:space="preserve"> de los servicios en el que se describan las actividades que integran </w:t>
      </w:r>
      <w:r w:rsidRPr="00A41C52">
        <w:rPr>
          <w:rFonts w:ascii="Century Gothic" w:eastAsia="Times New Roman" w:hAnsi="Century Gothic" w:cs="Arial"/>
        </w:rPr>
        <w:t xml:space="preserve">la prestación y se detallen la organización, procedimientos técnicos implicados y plan de respuesta a emergencias, en concreto lo siguiente: </w:t>
      </w:r>
    </w:p>
    <w:p w14:paraId="065226C5" w14:textId="77777777" w:rsidR="00D91439" w:rsidRPr="00A41C52" w:rsidRDefault="00D91439" w:rsidP="006965D8">
      <w:pPr>
        <w:numPr>
          <w:ilvl w:val="1"/>
          <w:numId w:val="41"/>
        </w:numPr>
        <w:spacing w:line="256" w:lineRule="auto"/>
        <w:ind w:left="1701"/>
        <w:contextualSpacing/>
        <w:jc w:val="both"/>
        <w:rPr>
          <w:rFonts w:ascii="Century Gothic" w:eastAsia="Calibri" w:hAnsi="Century Gothic" w:cs="Calibri"/>
        </w:rPr>
      </w:pPr>
      <w:r w:rsidRPr="00A41C52">
        <w:rPr>
          <w:rFonts w:ascii="Century Gothic" w:eastAsia="Calibri" w:hAnsi="Century Gothic" w:cs="Calibri"/>
        </w:rPr>
        <w:t>Modalidad de prestación del servicio (STS) y tipo de autorización del servicio en el caso STS (con base en puerto o sin base en puerto)</w:t>
      </w:r>
    </w:p>
    <w:p w14:paraId="18A600FA" w14:textId="77777777" w:rsidR="00D91439" w:rsidRPr="00C30AA5" w:rsidRDefault="00D91439" w:rsidP="006965D8">
      <w:pPr>
        <w:numPr>
          <w:ilvl w:val="1"/>
          <w:numId w:val="41"/>
        </w:numPr>
        <w:spacing w:line="256" w:lineRule="auto"/>
        <w:ind w:left="1701"/>
        <w:contextualSpacing/>
        <w:jc w:val="both"/>
        <w:rPr>
          <w:rFonts w:ascii="Century Gothic" w:eastAsia="Calibri" w:hAnsi="Century Gothic" w:cs="Calibri"/>
        </w:rPr>
      </w:pPr>
      <w:r w:rsidRPr="00C30AA5">
        <w:rPr>
          <w:rFonts w:ascii="Century Gothic" w:eastAsia="Calibri" w:hAnsi="Century Gothic" w:cs="Calibri"/>
        </w:rPr>
        <w:t>Previsiones de actividad y tipos de buques a los que se prevé suministrar</w:t>
      </w:r>
    </w:p>
    <w:p w14:paraId="33802D25" w14:textId="77777777" w:rsidR="00D91439" w:rsidRPr="00C30AA5" w:rsidRDefault="00D91439" w:rsidP="006965D8">
      <w:pPr>
        <w:numPr>
          <w:ilvl w:val="1"/>
          <w:numId w:val="41"/>
        </w:numPr>
        <w:spacing w:line="256" w:lineRule="auto"/>
        <w:ind w:left="1701"/>
        <w:contextualSpacing/>
        <w:jc w:val="both"/>
        <w:rPr>
          <w:rFonts w:ascii="Century Gothic" w:eastAsia="Calibri" w:hAnsi="Century Gothic" w:cs="Calibri"/>
        </w:rPr>
      </w:pPr>
      <w:r w:rsidRPr="00C30AA5">
        <w:rPr>
          <w:rFonts w:ascii="Century Gothic" w:eastAsia="Calibri" w:hAnsi="Century Gothic" w:cs="Calibri"/>
        </w:rPr>
        <w:t xml:space="preserve">Procedimientos. Incluirán una propuesta detallada de la operativa y de los medios materiales y humanos que intervienen en la </w:t>
      </w:r>
      <w:r w:rsidRPr="00C30AA5">
        <w:rPr>
          <w:rFonts w:ascii="Century Gothic" w:eastAsia="Calibri" w:hAnsi="Century Gothic" w:cs="Calibri"/>
          <w:shd w:val="clear" w:color="auto" w:fill="FFFFFF" w:themeFill="background1"/>
        </w:rPr>
        <w:t>misma. Incluirá</w:t>
      </w:r>
      <w:r w:rsidRPr="00C30AA5">
        <w:rPr>
          <w:rFonts w:ascii="Century Gothic" w:eastAsia="Calibri" w:hAnsi="Century Gothic" w:cs="Calibri"/>
        </w:rPr>
        <w:t xml:space="preserve"> la aproximación, amarre, conexión, documentación entre buques, suministro, desconexión y desabarloe.</w:t>
      </w:r>
    </w:p>
    <w:p w14:paraId="5750B25E" w14:textId="77777777" w:rsidR="00D91439" w:rsidRPr="00C30AA5" w:rsidRDefault="00D91439" w:rsidP="00D91439">
      <w:pPr>
        <w:spacing w:line="256" w:lineRule="auto"/>
        <w:ind w:left="1701"/>
        <w:contextualSpacing/>
        <w:rPr>
          <w:rFonts w:ascii="Century Gothic" w:eastAsia="Calibri" w:hAnsi="Century Gothic" w:cs="Calibri"/>
        </w:rPr>
      </w:pPr>
    </w:p>
    <w:p w14:paraId="4DD79664" w14:textId="670A8C7B" w:rsidR="00D91439" w:rsidRDefault="005A5521" w:rsidP="00DF7E59">
      <w:pPr>
        <w:spacing w:line="256" w:lineRule="auto"/>
        <w:ind w:left="426"/>
        <w:contextualSpacing/>
        <w:jc w:val="both"/>
        <w:rPr>
          <w:rFonts w:ascii="Century Gothic" w:eastAsia="Calibri" w:hAnsi="Century Gothic" w:cs="Calibri"/>
        </w:rPr>
      </w:pPr>
      <w:r w:rsidRPr="00A41C52">
        <w:rPr>
          <w:rFonts w:ascii="Century Gothic" w:eastAsia="Calibri" w:hAnsi="Century Gothic" w:cs="Calibri"/>
        </w:rPr>
        <w:t>C.2</w:t>
      </w:r>
      <w:r>
        <w:rPr>
          <w:rFonts w:ascii="Century Gothic" w:eastAsia="Calibri" w:hAnsi="Century Gothic" w:cs="Calibri"/>
        </w:rPr>
        <w:t xml:space="preserve"> Información</w:t>
      </w:r>
      <w:r w:rsidR="00D91439" w:rsidRPr="00A41C52">
        <w:rPr>
          <w:rFonts w:ascii="Century Gothic" w:eastAsia="Calibri" w:hAnsi="Century Gothic" w:cs="Calibri"/>
        </w:rPr>
        <w:t xml:space="preserve"> relativa a toda la </w:t>
      </w:r>
      <w:r w:rsidR="00D91439" w:rsidRPr="002A052E">
        <w:rPr>
          <w:rFonts w:ascii="Century Gothic" w:eastAsia="Calibri" w:hAnsi="Century Gothic" w:cs="Calibri"/>
          <w:b/>
          <w:bCs/>
        </w:rPr>
        <w:t>actividad durante la estancia</w:t>
      </w:r>
      <w:r w:rsidR="00D91439" w:rsidRPr="00A41C52">
        <w:rPr>
          <w:rFonts w:ascii="Century Gothic" w:eastAsia="Calibri" w:hAnsi="Century Gothic" w:cs="Calibri"/>
        </w:rPr>
        <w:t xml:space="preserve"> en puerto (i.e. agentes consignatarios, operaciones de carga, necesidades de atraque y de almacenamiento de elementos auxiliares tales como pontonas o defensas, etc..).</w:t>
      </w:r>
    </w:p>
    <w:p w14:paraId="62B156CA" w14:textId="77777777" w:rsidR="00D91439" w:rsidRPr="00227A33" w:rsidRDefault="00D91439" w:rsidP="00D91439">
      <w:pPr>
        <w:spacing w:line="256" w:lineRule="auto"/>
        <w:ind w:left="426"/>
        <w:contextualSpacing/>
        <w:rPr>
          <w:rFonts w:ascii="Century Gothic" w:eastAsia="Calibri" w:hAnsi="Century Gothic" w:cs="Calibri"/>
        </w:rPr>
      </w:pPr>
    </w:p>
    <w:p w14:paraId="485B62C4" w14:textId="51F8427D" w:rsidR="00D91439" w:rsidRPr="00671678" w:rsidRDefault="00D91439" w:rsidP="00DF7E59">
      <w:pPr>
        <w:spacing w:line="256" w:lineRule="auto"/>
        <w:ind w:left="426"/>
        <w:contextualSpacing/>
        <w:jc w:val="both"/>
        <w:rPr>
          <w:rFonts w:ascii="Century Gothic" w:eastAsia="Calibri" w:hAnsi="Century Gothic" w:cs="Calibri"/>
          <w:b/>
          <w:bCs/>
        </w:rPr>
      </w:pPr>
      <w:r w:rsidRPr="00671678">
        <w:rPr>
          <w:rFonts w:ascii="Century Gothic" w:eastAsia="Calibri" w:hAnsi="Century Gothic" w:cs="Arial"/>
        </w:rPr>
        <w:t>C.3</w:t>
      </w:r>
      <w:r w:rsidR="005A5521">
        <w:rPr>
          <w:rFonts w:ascii="Century Gothic" w:eastAsia="Calibri" w:hAnsi="Century Gothic" w:cs="Arial"/>
          <w:b/>
          <w:bCs/>
        </w:rPr>
        <w:t xml:space="preserve"> </w:t>
      </w:r>
      <w:r w:rsidRPr="00A41C52">
        <w:rPr>
          <w:rFonts w:ascii="Century Gothic" w:eastAsia="Calibri" w:hAnsi="Century Gothic" w:cs="Arial"/>
          <w:b/>
          <w:bCs/>
        </w:rPr>
        <w:t>Declaración responsable</w:t>
      </w:r>
      <w:r w:rsidRPr="00A41C52">
        <w:rPr>
          <w:rFonts w:ascii="Century Gothic" w:eastAsia="Calibri" w:hAnsi="Century Gothic" w:cs="Calibri"/>
        </w:rPr>
        <w:t xml:space="preserve"> de adoptar los procedimientos y medidas establecidos y a cumplir los pactos y normas que, en relación con la seguridad y salud de los trabajadores, se implanten dentro de la zona portuaria.</w:t>
      </w:r>
    </w:p>
    <w:p w14:paraId="74E8DBCE" w14:textId="77777777" w:rsidR="00D91439" w:rsidRPr="00671678" w:rsidRDefault="00D91439" w:rsidP="00DF7E59">
      <w:pPr>
        <w:spacing w:line="256" w:lineRule="auto"/>
        <w:ind w:left="426"/>
        <w:contextualSpacing/>
        <w:jc w:val="both"/>
        <w:rPr>
          <w:rFonts w:ascii="Century Gothic" w:eastAsia="Calibri" w:hAnsi="Century Gothic" w:cs="Calibri"/>
          <w:b/>
          <w:bCs/>
        </w:rPr>
      </w:pPr>
    </w:p>
    <w:p w14:paraId="24456F8A" w14:textId="37DF9688" w:rsidR="00D91439" w:rsidRPr="00BC24F3" w:rsidRDefault="00AF6480" w:rsidP="006965D8">
      <w:pPr>
        <w:numPr>
          <w:ilvl w:val="0"/>
          <w:numId w:val="47"/>
        </w:numPr>
        <w:spacing w:line="256" w:lineRule="auto"/>
        <w:ind w:hanging="501"/>
        <w:contextualSpacing/>
        <w:jc w:val="both"/>
        <w:rPr>
          <w:rFonts w:ascii="Century Gothic" w:eastAsia="Calibri" w:hAnsi="Century Gothic" w:cs="Calibri"/>
        </w:rPr>
      </w:pPr>
      <w:r w:rsidRPr="00671678">
        <w:rPr>
          <w:rFonts w:ascii="Century Gothic" w:eastAsia="Calibri" w:hAnsi="Century Gothic" w:cs="Calibri"/>
          <w:b/>
          <w:bCs/>
        </w:rPr>
        <w:t>S</w:t>
      </w:r>
      <w:r w:rsidR="00D91439" w:rsidRPr="00671678">
        <w:rPr>
          <w:rFonts w:ascii="Century Gothic" w:eastAsia="Calibri" w:hAnsi="Century Gothic" w:cs="Calibri"/>
          <w:b/>
          <w:bCs/>
        </w:rPr>
        <w:t>istemas</w:t>
      </w:r>
      <w:r w:rsidR="00D91439" w:rsidRPr="00A41C52">
        <w:rPr>
          <w:rFonts w:ascii="Century Gothic" w:eastAsia="Calibri" w:hAnsi="Century Gothic" w:cs="Calibri"/>
          <w:b/>
          <w:bCs/>
        </w:rPr>
        <w:t xml:space="preserve"> de registro</w:t>
      </w:r>
      <w:r w:rsidR="00D91439" w:rsidRPr="00A41C52">
        <w:rPr>
          <w:rFonts w:ascii="Century Gothic" w:eastAsia="Calibri" w:hAnsi="Century Gothic" w:cs="Calibri"/>
        </w:rPr>
        <w:t xml:space="preserve"> de las </w:t>
      </w:r>
      <w:r w:rsidR="00D91439" w:rsidRPr="00A41C52">
        <w:rPr>
          <w:rFonts w:ascii="Century Gothic" w:eastAsia="Calibri" w:hAnsi="Century Gothic" w:cs="Arial"/>
        </w:rPr>
        <w:t>solicitudes, el desarrollo de las actividades, los incidentes y las reclamaciones de cada servicio.</w:t>
      </w:r>
    </w:p>
    <w:p w14:paraId="16D4C4CC" w14:textId="77777777" w:rsidR="00D91439" w:rsidRPr="00A41C52" w:rsidRDefault="00D91439" w:rsidP="00D91439">
      <w:pPr>
        <w:spacing w:line="256" w:lineRule="auto"/>
        <w:ind w:left="786"/>
        <w:contextualSpacing/>
        <w:rPr>
          <w:rFonts w:ascii="Century Gothic" w:eastAsia="Calibri" w:hAnsi="Century Gothic" w:cs="Calibri"/>
        </w:rPr>
      </w:pPr>
    </w:p>
    <w:p w14:paraId="71DF1DA1" w14:textId="6E2E71B8" w:rsidR="00D91439" w:rsidRDefault="00D91439" w:rsidP="006965D8">
      <w:pPr>
        <w:numPr>
          <w:ilvl w:val="0"/>
          <w:numId w:val="47"/>
        </w:numPr>
        <w:spacing w:line="256" w:lineRule="auto"/>
        <w:ind w:left="641" w:hanging="357"/>
        <w:contextualSpacing/>
        <w:jc w:val="both"/>
        <w:rPr>
          <w:rFonts w:ascii="Century Gothic" w:eastAsia="Calibri" w:hAnsi="Century Gothic" w:cs="Arial"/>
        </w:rPr>
      </w:pPr>
      <w:r w:rsidRPr="007616A2">
        <w:rPr>
          <w:rFonts w:ascii="Century Gothic" w:eastAsia="Calibri" w:hAnsi="Century Gothic" w:cs="Arial"/>
          <w:b/>
          <w:bCs/>
        </w:rPr>
        <w:lastRenderedPageBreak/>
        <w:t xml:space="preserve">Certificación del sistema de gestión de la calidad y del medioambiente </w:t>
      </w:r>
      <w:r w:rsidRPr="007616A2">
        <w:rPr>
          <w:rFonts w:ascii="Century Gothic" w:eastAsia="Calibri" w:hAnsi="Century Gothic" w:cs="Arial"/>
        </w:rPr>
        <w:t>(para la calidad la ISO 900</w:t>
      </w:r>
      <w:r w:rsidR="007B3F61">
        <w:rPr>
          <w:rFonts w:ascii="Century Gothic" w:eastAsia="Calibri" w:hAnsi="Century Gothic" w:cs="Arial"/>
        </w:rPr>
        <w:t>0</w:t>
      </w:r>
      <w:r w:rsidRPr="007616A2">
        <w:rPr>
          <w:rFonts w:ascii="Century Gothic" w:eastAsia="Calibri" w:hAnsi="Century Gothic" w:cs="Arial"/>
        </w:rPr>
        <w:t xml:space="preserve">, y para el medio ambiente la ISO 14001 o acreditaciones EMAS) o, en su defecto, compromiso de aportar dicha certificación en el plazo establecido en la Condición 6ª.  </w:t>
      </w:r>
    </w:p>
    <w:p w14:paraId="2F5DD746" w14:textId="77777777" w:rsidR="007616A2" w:rsidRPr="007616A2" w:rsidRDefault="007616A2" w:rsidP="007616A2">
      <w:pPr>
        <w:spacing w:line="256" w:lineRule="auto"/>
        <w:ind w:left="284"/>
        <w:contextualSpacing/>
        <w:jc w:val="both"/>
        <w:rPr>
          <w:rFonts w:ascii="Century Gothic" w:eastAsia="Calibri" w:hAnsi="Century Gothic" w:cs="Arial"/>
        </w:rPr>
      </w:pPr>
    </w:p>
    <w:p w14:paraId="1780971C" w14:textId="0E100D86" w:rsidR="00D91439" w:rsidRDefault="00D91439" w:rsidP="006965D8">
      <w:pPr>
        <w:numPr>
          <w:ilvl w:val="0"/>
          <w:numId w:val="47"/>
        </w:numPr>
        <w:spacing w:line="256" w:lineRule="auto"/>
        <w:ind w:left="641" w:hanging="357"/>
        <w:contextualSpacing/>
        <w:jc w:val="both"/>
        <w:rPr>
          <w:rFonts w:ascii="Century Gothic" w:eastAsia="Calibri" w:hAnsi="Century Gothic" w:cs="Arial"/>
        </w:rPr>
      </w:pPr>
      <w:r w:rsidRPr="00A41C52">
        <w:rPr>
          <w:rFonts w:ascii="Century Gothic" w:eastAsia="Calibri" w:hAnsi="Century Gothic" w:cs="Arial"/>
        </w:rPr>
        <w:t xml:space="preserve">Copia del </w:t>
      </w:r>
      <w:r w:rsidRPr="00AF6480">
        <w:rPr>
          <w:rFonts w:ascii="Century Gothic" w:eastAsia="Calibri" w:hAnsi="Century Gothic" w:cs="Arial"/>
          <w:b/>
          <w:bCs/>
        </w:rPr>
        <w:t>seguro de responsabilidad civil</w:t>
      </w:r>
      <w:r w:rsidRPr="00A41C52">
        <w:rPr>
          <w:rFonts w:ascii="Century Gothic" w:eastAsia="Calibri" w:hAnsi="Century Gothic" w:cs="Arial"/>
        </w:rPr>
        <w:t xml:space="preserve"> del buque y del seguro de casco y máquinas (</w:t>
      </w:r>
      <w:r w:rsidRPr="00AF6480">
        <w:rPr>
          <w:rFonts w:ascii="Century Gothic" w:eastAsia="Calibri" w:hAnsi="Century Gothic" w:cs="Arial"/>
          <w:b/>
          <w:bCs/>
        </w:rPr>
        <w:t>P&amp;I</w:t>
      </w:r>
      <w:r w:rsidRPr="00A41C52">
        <w:rPr>
          <w:rFonts w:ascii="Century Gothic" w:eastAsia="Calibri" w:hAnsi="Century Gothic" w:cs="Arial"/>
        </w:rPr>
        <w:t>)</w:t>
      </w:r>
      <w:r w:rsidR="0081484D">
        <w:rPr>
          <w:rFonts w:ascii="Century Gothic" w:eastAsia="Calibri" w:hAnsi="Century Gothic" w:cs="Arial"/>
        </w:rPr>
        <w:t>.</w:t>
      </w:r>
      <w:r w:rsidRPr="00A41C52">
        <w:rPr>
          <w:rFonts w:ascii="Century Gothic" w:eastAsia="Calibri" w:hAnsi="Century Gothic" w:cs="Arial"/>
        </w:rPr>
        <w:t xml:space="preserve"> </w:t>
      </w:r>
    </w:p>
    <w:p w14:paraId="3B31DD1F" w14:textId="77777777" w:rsidR="00D91439" w:rsidRPr="00227A33" w:rsidRDefault="00D91439" w:rsidP="00D91439">
      <w:pPr>
        <w:spacing w:line="256" w:lineRule="auto"/>
        <w:ind w:left="641"/>
        <w:contextualSpacing/>
        <w:rPr>
          <w:rFonts w:ascii="Century Gothic" w:eastAsia="Calibri" w:hAnsi="Century Gothic" w:cs="Arial"/>
        </w:rPr>
      </w:pPr>
    </w:p>
    <w:p w14:paraId="02FCC0D6" w14:textId="7C668514" w:rsidR="00D91439" w:rsidRPr="002E1867" w:rsidRDefault="00D91439" w:rsidP="006965D8">
      <w:pPr>
        <w:numPr>
          <w:ilvl w:val="0"/>
          <w:numId w:val="47"/>
        </w:numPr>
        <w:spacing w:line="256" w:lineRule="auto"/>
        <w:ind w:left="641" w:hanging="357"/>
        <w:contextualSpacing/>
        <w:jc w:val="both"/>
        <w:rPr>
          <w:rFonts w:ascii="Century Gothic" w:eastAsia="Calibri" w:hAnsi="Century Gothic" w:cs="Arial"/>
          <w:color w:val="EE0000"/>
        </w:rPr>
      </w:pPr>
      <w:r w:rsidRPr="002E1867">
        <w:rPr>
          <w:rFonts w:ascii="Century Gothic" w:eastAsia="Calibri" w:hAnsi="Century Gothic" w:cs="Arial"/>
          <w:color w:val="EE0000"/>
        </w:rPr>
        <w:t>Plan para el vaciado de los depósitos/tanques del buque suministrador en caso de contingencia</w:t>
      </w:r>
      <w:r w:rsidR="00AF6480">
        <w:rPr>
          <w:rFonts w:ascii="Century Gothic" w:eastAsia="Calibri" w:hAnsi="Century Gothic" w:cs="Arial"/>
          <w:color w:val="EE0000"/>
        </w:rPr>
        <w:t xml:space="preserve"> (incluir o suprimir por la Autoridad Portuaria)</w:t>
      </w:r>
      <w:r w:rsidRPr="002E1867">
        <w:rPr>
          <w:rFonts w:ascii="Century Gothic" w:eastAsia="Calibri" w:hAnsi="Century Gothic" w:cs="Arial"/>
          <w:color w:val="EE0000"/>
        </w:rPr>
        <w:t xml:space="preserve">. </w:t>
      </w:r>
    </w:p>
    <w:p w14:paraId="357E8BAA" w14:textId="77777777" w:rsidR="00D91439" w:rsidRPr="00A41C52" w:rsidRDefault="00D91439" w:rsidP="00D91439">
      <w:pPr>
        <w:spacing w:line="256" w:lineRule="auto"/>
        <w:contextualSpacing/>
        <w:rPr>
          <w:rFonts w:ascii="Century Gothic" w:eastAsia="Calibri" w:hAnsi="Century Gothic" w:cs="Arial"/>
        </w:rPr>
      </w:pPr>
    </w:p>
    <w:p w14:paraId="52C0BBE5" w14:textId="71678D4F" w:rsidR="00D91439" w:rsidRPr="002E1867" w:rsidRDefault="00D91439" w:rsidP="006965D8">
      <w:pPr>
        <w:numPr>
          <w:ilvl w:val="0"/>
          <w:numId w:val="47"/>
        </w:numPr>
        <w:spacing w:line="256" w:lineRule="auto"/>
        <w:ind w:left="641" w:hanging="357"/>
        <w:contextualSpacing/>
        <w:jc w:val="both"/>
        <w:rPr>
          <w:rFonts w:ascii="Century Gothic" w:eastAsia="Calibri" w:hAnsi="Century Gothic" w:cs="Arial"/>
          <w:color w:val="EE0000"/>
        </w:rPr>
      </w:pPr>
      <w:r w:rsidRPr="002E1867">
        <w:rPr>
          <w:rFonts w:ascii="Century Gothic" w:eastAsia="Calibri" w:hAnsi="Century Gothic" w:cs="Arial"/>
          <w:color w:val="EE0000"/>
        </w:rPr>
        <w:t>Procedimiento específico de remolque de emergencia del buque suministrador</w:t>
      </w:r>
      <w:r w:rsidR="00AF6480">
        <w:rPr>
          <w:rFonts w:ascii="Century Gothic" w:eastAsia="Calibri" w:hAnsi="Century Gothic" w:cs="Arial"/>
          <w:color w:val="EE0000"/>
        </w:rPr>
        <w:t xml:space="preserve"> (incluir o suprimir por la Autoridad Portuaria).</w:t>
      </w:r>
    </w:p>
    <w:p w14:paraId="74538E6C" w14:textId="77777777" w:rsidR="007616A2" w:rsidRDefault="007616A2" w:rsidP="007616A2">
      <w:pPr>
        <w:spacing w:line="256" w:lineRule="auto"/>
        <w:ind w:left="284"/>
        <w:contextualSpacing/>
        <w:jc w:val="both"/>
        <w:rPr>
          <w:rFonts w:ascii="Century Gothic" w:eastAsia="Calibri" w:hAnsi="Century Gothic" w:cs="Arial"/>
        </w:rPr>
      </w:pPr>
    </w:p>
    <w:p w14:paraId="0559AD6F" w14:textId="77777777" w:rsidR="00D91439" w:rsidRPr="00227A33" w:rsidRDefault="00D91439" w:rsidP="0041309D">
      <w:pPr>
        <w:spacing w:line="256" w:lineRule="auto"/>
        <w:contextualSpacing/>
        <w:rPr>
          <w:rFonts w:ascii="Century Gothic" w:eastAsia="Calibri" w:hAnsi="Century Gothic" w:cs="Arial"/>
        </w:rPr>
      </w:pPr>
    </w:p>
    <w:p w14:paraId="5C5F1D0A" w14:textId="77777777" w:rsidR="00D91439" w:rsidRPr="00A41C52" w:rsidRDefault="00D91439" w:rsidP="0041309D">
      <w:pPr>
        <w:spacing w:line="256" w:lineRule="auto"/>
        <w:rPr>
          <w:rFonts w:ascii="Century Gothic" w:eastAsia="Calibri" w:hAnsi="Century Gothic" w:cs="Arial"/>
        </w:rPr>
      </w:pPr>
      <w:r w:rsidRPr="00A41C52">
        <w:rPr>
          <w:rFonts w:ascii="Century Gothic" w:eastAsia="Calibri" w:hAnsi="Century Gothic" w:cs="Arial"/>
          <w:b/>
          <w:bCs/>
        </w:rPr>
        <w:t>D. De otro carácter</w:t>
      </w:r>
    </w:p>
    <w:p w14:paraId="47E9FECB" w14:textId="77777777" w:rsidR="00D91439" w:rsidRDefault="00D91439" w:rsidP="006965D8">
      <w:pPr>
        <w:numPr>
          <w:ilvl w:val="0"/>
          <w:numId w:val="46"/>
        </w:numPr>
        <w:spacing w:line="256" w:lineRule="auto"/>
        <w:ind w:left="0" w:firstLine="0"/>
        <w:contextualSpacing/>
        <w:jc w:val="both"/>
        <w:rPr>
          <w:rFonts w:ascii="Century Gothic" w:eastAsia="Calibri" w:hAnsi="Century Gothic" w:cs="Arial"/>
        </w:rPr>
      </w:pPr>
      <w:r w:rsidRPr="00A41C52">
        <w:rPr>
          <w:rFonts w:ascii="Century Gothic" w:eastAsia="Calibri" w:hAnsi="Century Gothic" w:cs="Arial"/>
        </w:rPr>
        <w:t xml:space="preserve">Comunicaciones informativas relativas a la Ley Orgánica de </w:t>
      </w:r>
      <w:r w:rsidRPr="00A41C52">
        <w:rPr>
          <w:rFonts w:ascii="Century Gothic" w:eastAsia="Calibri" w:hAnsi="Century Gothic" w:cs="Arial"/>
          <w:b/>
          <w:bCs/>
        </w:rPr>
        <w:t xml:space="preserve">Protección de Datos </w:t>
      </w:r>
      <w:r w:rsidRPr="00A41C52">
        <w:rPr>
          <w:rFonts w:ascii="Century Gothic" w:eastAsia="Calibri" w:hAnsi="Century Gothic" w:cs="Arial"/>
        </w:rPr>
        <w:t xml:space="preserve">hechas a cada una de las personas físicas cuyos datos sean cedidos a la Autoridad Portuaria y firmadas individualmente por cada uno de los afectados. </w:t>
      </w:r>
    </w:p>
    <w:p w14:paraId="53F3FC1F" w14:textId="77777777" w:rsidR="00C313CF" w:rsidRPr="00A41C52" w:rsidRDefault="00C313CF" w:rsidP="00363EDA">
      <w:pPr>
        <w:spacing w:line="256" w:lineRule="auto"/>
        <w:contextualSpacing/>
        <w:jc w:val="both"/>
        <w:rPr>
          <w:rFonts w:ascii="Century Gothic" w:eastAsia="Calibri" w:hAnsi="Century Gothic" w:cs="Arial"/>
        </w:rPr>
      </w:pPr>
    </w:p>
    <w:p w14:paraId="2B169CB0" w14:textId="77777777" w:rsidR="00D91439" w:rsidRPr="00A41C52" w:rsidRDefault="00D91439" w:rsidP="00D91439">
      <w:pPr>
        <w:tabs>
          <w:tab w:val="center" w:pos="4645"/>
        </w:tabs>
        <w:autoSpaceDE w:val="0"/>
        <w:autoSpaceDN w:val="0"/>
        <w:adjustRightInd w:val="0"/>
        <w:spacing w:after="240" w:line="288" w:lineRule="auto"/>
        <w:ind w:left="357"/>
        <w:contextualSpacing/>
        <w:rPr>
          <w:rFonts w:ascii="Century Gothic" w:eastAsia="Times New Roman" w:hAnsi="Century Gothic" w:cs="Cambria"/>
          <w:b/>
          <w:bCs/>
          <w:color w:val="002060"/>
          <w:lang w:eastAsia="es-ES"/>
        </w:rPr>
      </w:pPr>
    </w:p>
    <w:p w14:paraId="1D85C3D6" w14:textId="1148970B" w:rsidR="00D91439" w:rsidRPr="00767DB5" w:rsidRDefault="00D91439" w:rsidP="006965D8">
      <w:pPr>
        <w:numPr>
          <w:ilvl w:val="0"/>
          <w:numId w:val="37"/>
        </w:numPr>
        <w:spacing w:line="256" w:lineRule="auto"/>
        <w:contextualSpacing/>
        <w:jc w:val="both"/>
        <w:rPr>
          <w:rFonts w:ascii="Century Gothic" w:eastAsia="Calibri" w:hAnsi="Century Gothic" w:cs="Arial"/>
          <w:b/>
          <w:bCs/>
          <w:sz w:val="28"/>
          <w:szCs w:val="28"/>
        </w:rPr>
      </w:pPr>
      <w:r w:rsidRPr="00767DB5">
        <w:rPr>
          <w:rFonts w:ascii="Century Gothic" w:eastAsia="Calibri" w:hAnsi="Century Gothic" w:cs="Arial"/>
          <w:b/>
          <w:bCs/>
          <w:sz w:val="28"/>
          <w:szCs w:val="28"/>
        </w:rPr>
        <w:t>DOCUMENTACIÓN PARA LA SOLICITUD DE VALIDACIÓN TÉCNICA DE SUMINISTRO</w:t>
      </w:r>
      <w:r w:rsidR="00767DB5" w:rsidRPr="00767DB5">
        <w:rPr>
          <w:rFonts w:ascii="Century Gothic" w:eastAsia="Calibri" w:hAnsi="Century Gothic" w:cs="Arial"/>
          <w:b/>
          <w:bCs/>
          <w:sz w:val="28"/>
          <w:szCs w:val="28"/>
        </w:rPr>
        <w:t xml:space="preserve"> STS</w:t>
      </w:r>
    </w:p>
    <w:p w14:paraId="2FB6AF8D" w14:textId="77777777" w:rsidR="00D91439" w:rsidRPr="00227A33" w:rsidRDefault="00D91439" w:rsidP="00D91439">
      <w:pPr>
        <w:spacing w:line="256" w:lineRule="auto"/>
        <w:ind w:left="720"/>
        <w:contextualSpacing/>
        <w:rPr>
          <w:rFonts w:ascii="Century Gothic" w:eastAsia="Calibri" w:hAnsi="Century Gothic" w:cs="Arial"/>
          <w:b/>
          <w:bCs/>
        </w:rPr>
      </w:pPr>
    </w:p>
    <w:p w14:paraId="0E7980A7" w14:textId="2027BD20" w:rsidR="00D91439" w:rsidRPr="00520A72" w:rsidRDefault="00D91439" w:rsidP="00B63140">
      <w:pPr>
        <w:spacing w:line="276" w:lineRule="auto"/>
        <w:jc w:val="both"/>
        <w:rPr>
          <w:rFonts w:ascii="Century Gothic" w:eastAsia="Calibri" w:hAnsi="Century Gothic" w:cs="Arial"/>
        </w:rPr>
      </w:pPr>
      <w:r w:rsidRPr="00A41C52">
        <w:rPr>
          <w:rFonts w:ascii="Century Gothic" w:eastAsia="Calibri" w:hAnsi="Century Gothic" w:cs="Arial"/>
        </w:rPr>
        <w:t>Para que</w:t>
      </w:r>
      <w:r w:rsidR="00E40DAB">
        <w:rPr>
          <w:rFonts w:ascii="Century Gothic" w:eastAsia="Calibri" w:hAnsi="Century Gothic" w:cs="Arial"/>
        </w:rPr>
        <w:t xml:space="preserve"> pueda valorarse</w:t>
      </w:r>
      <w:r w:rsidRPr="00A41C52">
        <w:rPr>
          <w:rFonts w:ascii="Century Gothic" w:eastAsia="Calibri" w:hAnsi="Century Gothic" w:cs="Arial"/>
        </w:rPr>
        <w:t xml:space="preserve"> el otorgamiento de una</w:t>
      </w:r>
      <w:r w:rsidR="00963BC6">
        <w:rPr>
          <w:rFonts w:ascii="Century Gothic" w:eastAsia="Calibri" w:hAnsi="Century Gothic" w:cs="Arial"/>
        </w:rPr>
        <w:t xml:space="preserve"> </w:t>
      </w:r>
      <w:r>
        <w:rPr>
          <w:rFonts w:ascii="Century Gothic" w:eastAsia="Calibri" w:hAnsi="Century Gothic" w:cs="Arial"/>
        </w:rPr>
        <w:t xml:space="preserve">validación </w:t>
      </w:r>
      <w:r w:rsidRPr="00A41C52">
        <w:rPr>
          <w:rFonts w:ascii="Century Gothic" w:eastAsia="Calibri" w:hAnsi="Century Gothic" w:cs="Arial"/>
        </w:rPr>
        <w:t xml:space="preserve">técnica, </w:t>
      </w:r>
      <w:r w:rsidRPr="00CE4FB7">
        <w:rPr>
          <w:rFonts w:ascii="Century Gothic" w:eastAsia="Calibri" w:hAnsi="Century Gothic" w:cs="Arial"/>
          <w:b/>
          <w:bCs/>
        </w:rPr>
        <w:t>el interesado deberá formular solicitud</w:t>
      </w:r>
      <w:r w:rsidR="00417CAC">
        <w:rPr>
          <w:rFonts w:ascii="Century Gothic" w:eastAsia="Calibri" w:hAnsi="Century Gothic" w:cs="Arial"/>
          <w:b/>
          <w:bCs/>
        </w:rPr>
        <w:t xml:space="preserve"> </w:t>
      </w:r>
      <w:r w:rsidR="001F2429">
        <w:rPr>
          <w:rFonts w:ascii="Century Gothic" w:eastAsia="Calibri" w:hAnsi="Century Gothic" w:cs="Arial"/>
          <w:b/>
          <w:bCs/>
        </w:rPr>
        <w:t xml:space="preserve">a la Autoridad Portuaria </w:t>
      </w:r>
      <w:r w:rsidR="00417CAC">
        <w:rPr>
          <w:rFonts w:ascii="Century Gothic" w:eastAsia="Calibri" w:hAnsi="Century Gothic" w:cs="Arial"/>
          <w:b/>
          <w:bCs/>
        </w:rPr>
        <w:t xml:space="preserve">conforme al procedimiento del Anexo I-STS del presente PCP </w:t>
      </w:r>
      <w:r w:rsidRPr="00520A72">
        <w:rPr>
          <w:rFonts w:ascii="Century Gothic" w:eastAsia="Calibri" w:hAnsi="Century Gothic" w:cs="Arial"/>
        </w:rPr>
        <w:t>acompañada de la siguiente documentación:</w:t>
      </w:r>
    </w:p>
    <w:p w14:paraId="23DADD02" w14:textId="77777777" w:rsidR="00D91439" w:rsidRPr="00A41C52" w:rsidRDefault="00D91439" w:rsidP="006965D8">
      <w:pPr>
        <w:numPr>
          <w:ilvl w:val="0"/>
          <w:numId w:val="42"/>
        </w:numPr>
        <w:spacing w:before="120" w:after="120" w:line="276" w:lineRule="auto"/>
        <w:jc w:val="both"/>
        <w:rPr>
          <w:rFonts w:ascii="Century Gothic" w:eastAsia="Calibri" w:hAnsi="Century Gothic" w:cs="Times New Roman"/>
        </w:rPr>
      </w:pPr>
      <w:r w:rsidRPr="00A41C52">
        <w:rPr>
          <w:rFonts w:ascii="Century Gothic" w:eastAsia="Calibri" w:hAnsi="Century Gothic" w:cs="Times New Roman"/>
          <w:b/>
        </w:rPr>
        <w:t>Escrito de solicitud</w:t>
      </w:r>
      <w:r w:rsidRPr="00A41C52">
        <w:rPr>
          <w:rFonts w:ascii="Century Gothic" w:eastAsia="Calibri" w:hAnsi="Century Gothic" w:cs="Times New Roman"/>
        </w:rPr>
        <w:t>, dirigido a</w:t>
      </w:r>
      <w:r w:rsidRPr="00A41C52">
        <w:rPr>
          <w:rFonts w:ascii="Century Gothic" w:eastAsia="Calibri" w:hAnsi="Century Gothic" w:cs="Times New Roman"/>
          <w:lang w:val="ca-ES"/>
        </w:rPr>
        <w:t xml:space="preserve"> </w:t>
      </w:r>
      <w:r w:rsidRPr="00A41C52">
        <w:rPr>
          <w:rFonts w:ascii="Century Gothic" w:eastAsia="Calibri" w:hAnsi="Century Gothic" w:cs="Times New Roman"/>
        </w:rPr>
        <w:t xml:space="preserve">la Autoridad Portuaria, firmado por el suministrador, en el que se aluda a la autorización (título habilitante) previa asociada y que incluya: </w:t>
      </w:r>
    </w:p>
    <w:p w14:paraId="1E5D6D9F" w14:textId="77777777" w:rsidR="00D91439" w:rsidRPr="00A41C52" w:rsidRDefault="00D91439" w:rsidP="006965D8">
      <w:pPr>
        <w:numPr>
          <w:ilvl w:val="1"/>
          <w:numId w:val="43"/>
        </w:numPr>
        <w:spacing w:before="120" w:after="120" w:line="276" w:lineRule="auto"/>
        <w:ind w:hanging="589"/>
        <w:jc w:val="both"/>
        <w:rPr>
          <w:rFonts w:ascii="Century Gothic" w:eastAsia="Calibri" w:hAnsi="Century Gothic" w:cs="Times New Roman"/>
        </w:rPr>
      </w:pPr>
      <w:r w:rsidRPr="00A41C52">
        <w:rPr>
          <w:rFonts w:ascii="Century Gothic" w:eastAsia="Calibri" w:hAnsi="Century Gothic" w:cs="Times New Roman"/>
        </w:rPr>
        <w:t>Titular de la autorización del servicio de suministro de GNL</w:t>
      </w:r>
    </w:p>
    <w:p w14:paraId="014322B7" w14:textId="77777777" w:rsidR="00D91439" w:rsidRPr="00A41C52" w:rsidRDefault="00D91439" w:rsidP="006965D8">
      <w:pPr>
        <w:numPr>
          <w:ilvl w:val="1"/>
          <w:numId w:val="43"/>
        </w:numPr>
        <w:spacing w:before="120" w:after="120" w:line="276" w:lineRule="auto"/>
        <w:ind w:hanging="589"/>
        <w:jc w:val="both"/>
        <w:rPr>
          <w:rFonts w:ascii="Century Gothic" w:eastAsia="Calibri" w:hAnsi="Century Gothic" w:cs="Times New Roman"/>
        </w:rPr>
      </w:pPr>
      <w:r w:rsidRPr="00A41C52">
        <w:rPr>
          <w:rFonts w:ascii="Century Gothic" w:eastAsia="Calibri" w:hAnsi="Century Gothic" w:cs="Times New Roman"/>
        </w:rPr>
        <w:t>Modalidad de suministro (STS)</w:t>
      </w:r>
    </w:p>
    <w:p w14:paraId="07977191" w14:textId="77777777" w:rsidR="00D91439" w:rsidRPr="00A41C52" w:rsidRDefault="00D91439" w:rsidP="006965D8">
      <w:pPr>
        <w:numPr>
          <w:ilvl w:val="1"/>
          <w:numId w:val="43"/>
        </w:numPr>
        <w:spacing w:before="120" w:after="120" w:line="276" w:lineRule="auto"/>
        <w:ind w:hanging="589"/>
        <w:jc w:val="both"/>
        <w:rPr>
          <w:rFonts w:ascii="Century Gothic" w:eastAsia="Calibri" w:hAnsi="Century Gothic" w:cs="Times New Roman"/>
        </w:rPr>
      </w:pPr>
      <w:r w:rsidRPr="00A41C52">
        <w:rPr>
          <w:rFonts w:ascii="Century Gothic" w:eastAsia="Calibri" w:hAnsi="Century Gothic" w:cs="Times New Roman"/>
        </w:rPr>
        <w:t xml:space="preserve">Identificación </w:t>
      </w:r>
      <w:r w:rsidRPr="00E91E5A">
        <w:rPr>
          <w:rFonts w:ascii="Century Gothic" w:eastAsia="Calibri" w:hAnsi="Century Gothic" w:cs="Times New Roman"/>
        </w:rPr>
        <w:t xml:space="preserve">del equipo suministrador y del/los tipos/s de buques receptores o a los buques receptores concretos a los que se </w:t>
      </w:r>
      <w:r w:rsidRPr="00A41C52">
        <w:rPr>
          <w:rFonts w:ascii="Century Gothic" w:eastAsia="Calibri" w:hAnsi="Century Gothic" w:cs="Times New Roman"/>
        </w:rPr>
        <w:t>pretende suministrar</w:t>
      </w:r>
    </w:p>
    <w:p w14:paraId="57EC8C29" w14:textId="475F8E95" w:rsidR="00D91439" w:rsidRPr="00B63140" w:rsidRDefault="00D91439" w:rsidP="006965D8">
      <w:pPr>
        <w:numPr>
          <w:ilvl w:val="1"/>
          <w:numId w:val="43"/>
        </w:numPr>
        <w:spacing w:before="120" w:after="120" w:line="276" w:lineRule="auto"/>
        <w:ind w:hanging="589"/>
        <w:jc w:val="both"/>
        <w:rPr>
          <w:rFonts w:ascii="Century Gothic" w:eastAsia="Calibri" w:hAnsi="Century Gothic" w:cs="Times New Roman"/>
        </w:rPr>
      </w:pPr>
      <w:r w:rsidRPr="00A41C52">
        <w:rPr>
          <w:rFonts w:ascii="Century Gothic" w:eastAsia="Calibri" w:hAnsi="Century Gothic" w:cs="Times New Roman"/>
        </w:rPr>
        <w:t>Ubicaciones (muelles</w:t>
      </w:r>
      <w:r w:rsidR="00E91E5A">
        <w:rPr>
          <w:rFonts w:ascii="Century Gothic" w:eastAsia="Calibri" w:hAnsi="Century Gothic" w:cs="Times New Roman"/>
        </w:rPr>
        <w:t>,</w:t>
      </w:r>
      <w:r w:rsidRPr="00B63140">
        <w:rPr>
          <w:rFonts w:ascii="Century Gothic" w:eastAsia="Calibri" w:hAnsi="Century Gothic" w:cs="Times New Roman"/>
        </w:rPr>
        <w:t xml:space="preserve"> terminales o fondeadero) en las que se pretende realizar el suministro</w:t>
      </w:r>
    </w:p>
    <w:p w14:paraId="28C9E6FC" w14:textId="088316E6" w:rsidR="00D91439" w:rsidRPr="00B63140" w:rsidRDefault="00A276CC" w:rsidP="006965D8">
      <w:pPr>
        <w:numPr>
          <w:ilvl w:val="1"/>
          <w:numId w:val="43"/>
        </w:numPr>
        <w:spacing w:before="120" w:after="120" w:line="276" w:lineRule="auto"/>
        <w:ind w:hanging="589"/>
        <w:jc w:val="both"/>
        <w:rPr>
          <w:rFonts w:ascii="Century Gothic" w:eastAsia="Calibri" w:hAnsi="Century Gothic" w:cs="Times New Roman"/>
        </w:rPr>
      </w:pPr>
      <w:r w:rsidRPr="00B63140">
        <w:rPr>
          <w:rFonts w:ascii="Century Gothic" w:eastAsia="Calibri" w:hAnsi="Century Gothic" w:cs="Times New Roman"/>
        </w:rPr>
        <w:t>Estimación de o</w:t>
      </w:r>
      <w:r w:rsidR="00D91439" w:rsidRPr="00B63140">
        <w:rPr>
          <w:rFonts w:ascii="Century Gothic" w:eastAsia="Calibri" w:hAnsi="Century Gothic" w:cs="Times New Roman"/>
        </w:rPr>
        <w:t>peraciones</w:t>
      </w:r>
      <w:r w:rsidRPr="00B63140">
        <w:rPr>
          <w:rFonts w:ascii="Century Gothic" w:eastAsia="Calibri" w:hAnsi="Century Gothic" w:cs="Times New Roman"/>
        </w:rPr>
        <w:t xml:space="preserve"> anuales de</w:t>
      </w:r>
      <w:r w:rsidR="00D91439" w:rsidRPr="00B63140">
        <w:rPr>
          <w:rFonts w:ascii="Century Gothic" w:eastAsia="Calibri" w:hAnsi="Century Gothic" w:cs="Times New Roman"/>
        </w:rPr>
        <w:t xml:space="preserve"> suministro </w:t>
      </w:r>
    </w:p>
    <w:p w14:paraId="06E0577F" w14:textId="1CF39880" w:rsidR="00682DE0" w:rsidRDefault="00D91439" w:rsidP="00CE4FB7">
      <w:pPr>
        <w:spacing w:before="120" w:after="120" w:line="276" w:lineRule="auto"/>
        <w:jc w:val="both"/>
        <w:rPr>
          <w:rFonts w:ascii="Century Gothic" w:eastAsia="Calibri" w:hAnsi="Century Gothic" w:cs="Times New Roman"/>
        </w:rPr>
      </w:pPr>
      <w:r w:rsidRPr="00B63140">
        <w:rPr>
          <w:rFonts w:ascii="Century Gothic" w:eastAsia="Calibri" w:hAnsi="Century Gothic" w:cs="Times New Roman"/>
        </w:rPr>
        <w:t>Se indicará el nombre del representante con autorización de la persona física o jurídica, el NIF y domicilio.</w:t>
      </w:r>
    </w:p>
    <w:p w14:paraId="2E21A541" w14:textId="68570E6B" w:rsidR="00682DE0" w:rsidRDefault="00682DE0" w:rsidP="006965D8">
      <w:pPr>
        <w:pStyle w:val="Prrafodelista"/>
        <w:numPr>
          <w:ilvl w:val="0"/>
          <w:numId w:val="43"/>
        </w:numPr>
        <w:spacing w:line="257" w:lineRule="auto"/>
        <w:ind w:left="284" w:hanging="284"/>
        <w:jc w:val="both"/>
        <w:rPr>
          <w:rFonts w:ascii="Century Gothic" w:eastAsia="Calibri" w:hAnsi="Century Gothic" w:cs="Arial"/>
        </w:rPr>
      </w:pPr>
      <w:r w:rsidRPr="00666A10">
        <w:rPr>
          <w:rFonts w:ascii="Century Gothic" w:eastAsia="Calibri" w:hAnsi="Century Gothic" w:cs="Arial"/>
          <w:b/>
          <w:bCs/>
        </w:rPr>
        <w:lastRenderedPageBreak/>
        <w:t xml:space="preserve">Para obtener los Informes preceptivos de la Capitanía Marítima, será necesario que el solicitante </w:t>
      </w:r>
      <w:r w:rsidR="0019665D" w:rsidRPr="00666A10">
        <w:rPr>
          <w:rFonts w:ascii="Century Gothic" w:eastAsia="Calibri" w:hAnsi="Century Gothic" w:cs="Arial"/>
          <w:b/>
          <w:bCs/>
        </w:rPr>
        <w:t>incluya además en su solicitud de validación técnica presentada a la Autoridad Portuaria</w:t>
      </w:r>
      <w:r w:rsidR="0019665D" w:rsidRPr="00666A10">
        <w:rPr>
          <w:rFonts w:ascii="Century Gothic" w:eastAsia="Calibri" w:hAnsi="Century Gothic" w:cs="Arial"/>
        </w:rPr>
        <w:t xml:space="preserve"> </w:t>
      </w:r>
      <w:r w:rsidRPr="00666A10">
        <w:rPr>
          <w:rFonts w:ascii="Century Gothic" w:eastAsia="Calibri" w:hAnsi="Century Gothic" w:cs="Arial"/>
        </w:rPr>
        <w:t>la siguiente información</w:t>
      </w:r>
      <w:r w:rsidR="0019665D" w:rsidRPr="00666A10">
        <w:rPr>
          <w:rFonts w:ascii="Century Gothic" w:eastAsia="Calibri" w:hAnsi="Century Gothic" w:cs="Arial"/>
        </w:rPr>
        <w:t>:</w:t>
      </w:r>
    </w:p>
    <w:p w14:paraId="3833C3BC" w14:textId="77777777" w:rsidR="00C14177" w:rsidRDefault="00C14177" w:rsidP="00C14177">
      <w:pPr>
        <w:spacing w:line="257" w:lineRule="auto"/>
        <w:jc w:val="both"/>
        <w:rPr>
          <w:rFonts w:ascii="Century Gothic" w:eastAsia="Calibri" w:hAnsi="Century Gothic" w:cs="Arial"/>
        </w:rPr>
      </w:pPr>
    </w:p>
    <w:p w14:paraId="03556A8C" w14:textId="51E4C5C5" w:rsidR="00C14177" w:rsidRPr="00666A10" w:rsidRDefault="00C14177" w:rsidP="00C14177">
      <w:pPr>
        <w:pStyle w:val="Prrafodelista"/>
        <w:spacing w:line="257" w:lineRule="auto"/>
        <w:ind w:left="284"/>
        <w:jc w:val="both"/>
        <w:rPr>
          <w:rFonts w:ascii="Century Gothic" w:eastAsia="Calibri" w:hAnsi="Century Gothic" w:cs="Arial"/>
        </w:rPr>
      </w:pPr>
      <w:r>
        <w:rPr>
          <w:rFonts w:ascii="Century Gothic" w:eastAsia="Calibri" w:hAnsi="Century Gothic" w:cs="Arial"/>
          <w:b/>
          <w:bCs/>
        </w:rPr>
        <w:t>B.1. Documentación a presentar para obtener el informe de idoneidad del buque suministrador</w:t>
      </w:r>
    </w:p>
    <w:p w14:paraId="7EE52BE9" w14:textId="77777777" w:rsidR="00C14177" w:rsidRPr="00666A10" w:rsidRDefault="00C14177" w:rsidP="00C14177">
      <w:pPr>
        <w:spacing w:line="257" w:lineRule="auto"/>
        <w:ind w:left="284"/>
        <w:contextualSpacing/>
        <w:rPr>
          <w:rFonts w:ascii="Century Gothic" w:eastAsia="Calibri" w:hAnsi="Century Gothic" w:cs="Arial"/>
        </w:rPr>
      </w:pPr>
      <w:r w:rsidRPr="00666A10">
        <w:rPr>
          <w:rFonts w:ascii="Century Gothic" w:eastAsia="Calibri" w:hAnsi="Century Gothic" w:cs="Arial"/>
        </w:rPr>
        <w:t>I.  Documentación de cada buque suministrador:</w:t>
      </w:r>
    </w:p>
    <w:p w14:paraId="38D28C8C" w14:textId="77777777" w:rsidR="00C14177" w:rsidRPr="00666A10" w:rsidRDefault="00C14177" w:rsidP="00C14177">
      <w:pPr>
        <w:spacing w:line="256" w:lineRule="auto"/>
        <w:ind w:left="720"/>
        <w:contextualSpacing/>
        <w:rPr>
          <w:rFonts w:ascii="Century Gothic" w:eastAsia="Calibri" w:hAnsi="Century Gothic" w:cs="Arial"/>
        </w:rPr>
      </w:pPr>
    </w:p>
    <w:p w14:paraId="0066ADDB" w14:textId="77777777" w:rsidR="00C14177" w:rsidRPr="00666A10" w:rsidRDefault="00C14177" w:rsidP="00C14177">
      <w:pPr>
        <w:spacing w:line="256" w:lineRule="auto"/>
        <w:ind w:left="1440"/>
        <w:contextualSpacing/>
        <w:rPr>
          <w:rFonts w:ascii="Century Gothic" w:eastAsia="Calibri" w:hAnsi="Century Gothic" w:cs="Arial"/>
        </w:rPr>
      </w:pPr>
      <w:r w:rsidRPr="00666A10">
        <w:rPr>
          <w:rFonts w:ascii="Century Gothic" w:eastAsia="Calibri" w:hAnsi="Century Gothic" w:cs="Arial"/>
        </w:rPr>
        <w:t>a.</w:t>
      </w:r>
      <w:r w:rsidRPr="00666A10">
        <w:rPr>
          <w:rFonts w:ascii="Century Gothic" w:eastAsia="Calibri" w:hAnsi="Century Gothic" w:cs="Arial"/>
        </w:rPr>
        <w:tab/>
        <w:t>Certificado de Registro del buque.</w:t>
      </w:r>
    </w:p>
    <w:p w14:paraId="7E28599C" w14:textId="77777777" w:rsidR="00C14177" w:rsidRPr="00666A10" w:rsidRDefault="00C14177" w:rsidP="00C14177">
      <w:pPr>
        <w:spacing w:line="256" w:lineRule="auto"/>
        <w:ind w:left="1440"/>
        <w:contextualSpacing/>
        <w:rPr>
          <w:rFonts w:ascii="Century Gothic" w:eastAsia="Calibri" w:hAnsi="Century Gothic" w:cs="Arial"/>
        </w:rPr>
      </w:pPr>
      <w:r w:rsidRPr="00666A10">
        <w:rPr>
          <w:rFonts w:ascii="Century Gothic" w:eastAsia="Calibri" w:hAnsi="Century Gothic" w:cs="Arial"/>
        </w:rPr>
        <w:t>b.</w:t>
      </w:r>
      <w:r w:rsidRPr="00666A10">
        <w:rPr>
          <w:rFonts w:ascii="Century Gothic" w:eastAsia="Calibri" w:hAnsi="Century Gothic" w:cs="Arial"/>
        </w:rPr>
        <w:tab/>
        <w:t>Certificado de clase del buque.</w:t>
      </w:r>
    </w:p>
    <w:p w14:paraId="6D02B892" w14:textId="77777777" w:rsidR="00C14177" w:rsidRPr="00666A10" w:rsidRDefault="00C14177" w:rsidP="00C14177">
      <w:pPr>
        <w:spacing w:line="256" w:lineRule="auto"/>
        <w:ind w:left="1440"/>
        <w:contextualSpacing/>
        <w:rPr>
          <w:rFonts w:ascii="Century Gothic" w:eastAsia="Calibri" w:hAnsi="Century Gothic" w:cs="Arial"/>
        </w:rPr>
      </w:pPr>
      <w:r w:rsidRPr="00666A10">
        <w:rPr>
          <w:rFonts w:ascii="Century Gothic" w:eastAsia="Calibri" w:hAnsi="Century Gothic" w:cs="Arial"/>
        </w:rPr>
        <w:t>c.</w:t>
      </w:r>
      <w:r w:rsidRPr="00666A10">
        <w:rPr>
          <w:rFonts w:ascii="Century Gothic" w:eastAsia="Calibri" w:hAnsi="Century Gothic" w:cs="Arial"/>
        </w:rPr>
        <w:tab/>
        <w:t>Certificados estatutarios del buque.</w:t>
      </w:r>
    </w:p>
    <w:p w14:paraId="1C6FADDB" w14:textId="77777777" w:rsidR="00C14177" w:rsidRPr="00666A10" w:rsidRDefault="00C14177" w:rsidP="00C14177">
      <w:pPr>
        <w:spacing w:line="256" w:lineRule="auto"/>
        <w:ind w:left="1440"/>
        <w:contextualSpacing/>
        <w:rPr>
          <w:rFonts w:ascii="Century Gothic" w:eastAsia="Calibri" w:hAnsi="Century Gothic" w:cs="Arial"/>
        </w:rPr>
      </w:pPr>
      <w:r w:rsidRPr="00666A10">
        <w:rPr>
          <w:rFonts w:ascii="Century Gothic" w:eastAsia="Calibri" w:hAnsi="Century Gothic" w:cs="Arial"/>
        </w:rPr>
        <w:t>d.</w:t>
      </w:r>
      <w:r w:rsidRPr="00666A10">
        <w:rPr>
          <w:rFonts w:ascii="Century Gothic" w:eastAsia="Calibri" w:hAnsi="Century Gothic" w:cs="Arial"/>
        </w:rPr>
        <w:tab/>
        <w:t>DoC de la Compañía ISM.</w:t>
      </w:r>
    </w:p>
    <w:p w14:paraId="036D64EF" w14:textId="77777777" w:rsidR="00C14177" w:rsidRPr="00666A10" w:rsidRDefault="00C14177" w:rsidP="00C14177">
      <w:pPr>
        <w:spacing w:line="256" w:lineRule="auto"/>
        <w:ind w:left="2124" w:hanging="684"/>
        <w:contextualSpacing/>
        <w:rPr>
          <w:rFonts w:ascii="Century Gothic" w:eastAsia="Calibri" w:hAnsi="Century Gothic" w:cs="Arial"/>
        </w:rPr>
      </w:pPr>
      <w:r w:rsidRPr="00666A10">
        <w:rPr>
          <w:rFonts w:ascii="Century Gothic" w:eastAsia="Calibri" w:hAnsi="Century Gothic" w:cs="Arial"/>
        </w:rPr>
        <w:t>e.</w:t>
      </w:r>
      <w:r w:rsidRPr="00666A10">
        <w:rPr>
          <w:rFonts w:ascii="Century Gothic" w:eastAsia="Calibri" w:hAnsi="Century Gothic" w:cs="Arial"/>
        </w:rPr>
        <w:tab/>
        <w:t>Exenciones, equivalencias o dispensas concedidas al buque   por la Administración del Estado de bandera.</w:t>
      </w:r>
    </w:p>
    <w:p w14:paraId="16C5C50C" w14:textId="77777777" w:rsidR="00C14177" w:rsidRPr="00666A10" w:rsidRDefault="00C14177" w:rsidP="00C14177">
      <w:pPr>
        <w:spacing w:line="256" w:lineRule="auto"/>
        <w:ind w:left="568" w:hanging="284"/>
        <w:contextualSpacing/>
        <w:jc w:val="both"/>
        <w:rPr>
          <w:rFonts w:ascii="Century Gothic" w:eastAsia="Calibri" w:hAnsi="Century Gothic" w:cs="Arial"/>
        </w:rPr>
      </w:pPr>
    </w:p>
    <w:p w14:paraId="3C2514E2" w14:textId="60C7331F" w:rsidR="00C14177" w:rsidRPr="00666A10" w:rsidRDefault="00C14177" w:rsidP="00C14177">
      <w:pPr>
        <w:spacing w:line="256" w:lineRule="auto"/>
        <w:ind w:left="568" w:hanging="284"/>
        <w:contextualSpacing/>
        <w:jc w:val="both"/>
        <w:rPr>
          <w:rFonts w:ascii="Century Gothic" w:eastAsia="Calibri" w:hAnsi="Century Gothic" w:cs="Arial"/>
        </w:rPr>
      </w:pPr>
      <w:r w:rsidRPr="00666A10">
        <w:rPr>
          <w:rFonts w:ascii="Century Gothic" w:eastAsia="Calibri" w:hAnsi="Century Gothic" w:cs="Arial"/>
        </w:rPr>
        <w:t>II. Justificación de que la Compañía ISM dispone de domicilio en España o en el Espacio Económico Europeo, o en su defecto que aporte documento legal de representación con una persona física o jurídica en España o en el E.E.E.</w:t>
      </w:r>
    </w:p>
    <w:p w14:paraId="759EEC6D" w14:textId="77777777" w:rsidR="00C14177" w:rsidRPr="00666A10" w:rsidRDefault="00C14177" w:rsidP="00C14177">
      <w:pPr>
        <w:ind w:left="568" w:hanging="284"/>
        <w:jc w:val="both"/>
        <w:rPr>
          <w:rFonts w:ascii="Century Gothic" w:hAnsi="Century Gothic"/>
        </w:rPr>
      </w:pPr>
    </w:p>
    <w:p w14:paraId="6CE118FE" w14:textId="671973E2" w:rsidR="00C14177" w:rsidRPr="00666A10" w:rsidRDefault="00C14177" w:rsidP="00C14177">
      <w:pPr>
        <w:spacing w:after="0" w:line="240" w:lineRule="auto"/>
        <w:ind w:left="568" w:hanging="284"/>
        <w:jc w:val="both"/>
      </w:pPr>
      <w:r w:rsidRPr="00666A10">
        <w:rPr>
          <w:rFonts w:ascii="Century Gothic" w:hAnsi="Century Gothic"/>
        </w:rPr>
        <w:t>I</w:t>
      </w:r>
      <w:r>
        <w:rPr>
          <w:rFonts w:ascii="Century Gothic" w:hAnsi="Century Gothic"/>
        </w:rPr>
        <w:t>II.</w:t>
      </w:r>
      <w:r w:rsidRPr="00666A10">
        <w:rPr>
          <w:rFonts w:ascii="Century Gothic" w:hAnsi="Century Gothic"/>
        </w:rPr>
        <w:t xml:space="preserve"> El Resultado de la evaluación de riesgos HAZID/HAZOP llevada a cabo de la operación de suministro de combustible de GNL, que informa sobre la viabilidad del abastecimiento entre el buque suministrador y los distintos tipos de buques receptores, conforme a la norma ISO 18683 o a una alternativa que cuente con suficiente aceptación en el sector del suministro de metano líquido. Este HAZID/HAZOP no tiene en cuenta las especificidades de un puerto concreto; por tanto, podrá presentarse, siempre que sea suficiente para evaluar la viabilidad de los suministros a los distintos tipos de buques, el HAZID/HAZOP realizado a la salida del astillero o en otro puerto distinto de aquel para el que se solicita la autorización técnica</w:t>
      </w:r>
      <w:r w:rsidRPr="00666A10">
        <w:t>.</w:t>
      </w:r>
    </w:p>
    <w:p w14:paraId="1288AACF" w14:textId="77777777" w:rsidR="00C14177" w:rsidRPr="00666A10" w:rsidRDefault="00C14177" w:rsidP="00C14177">
      <w:pPr>
        <w:pStyle w:val="Prrafodelista"/>
        <w:ind w:left="284"/>
      </w:pPr>
    </w:p>
    <w:p w14:paraId="200D7548" w14:textId="567F9531" w:rsidR="00C14177" w:rsidRPr="00666A10" w:rsidRDefault="00C14177" w:rsidP="00C14177">
      <w:pPr>
        <w:spacing w:after="0" w:line="240" w:lineRule="auto"/>
        <w:ind w:left="568" w:hanging="284"/>
        <w:jc w:val="both"/>
      </w:pPr>
      <w:r>
        <w:rPr>
          <w:rFonts w:ascii="Century Gothic" w:hAnsi="Century Gothic"/>
        </w:rPr>
        <w:t>I</w:t>
      </w:r>
      <w:r w:rsidRPr="00666A10">
        <w:rPr>
          <w:rFonts w:ascii="Century Gothic" w:hAnsi="Century Gothic"/>
        </w:rPr>
        <w:t>V</w:t>
      </w:r>
      <w:r w:rsidRPr="00F16C2B">
        <w:rPr>
          <w:rFonts w:ascii="Century Gothic" w:hAnsi="Century Gothic"/>
        </w:rPr>
        <w:t>. Información emitida por la compañía ISM donde se indique sucintamente las características del buque, su capacidad de carga y su capacidad de maniobra (descripción de los medios de propulsión y gobierno, y de las fuentes de energía que alimentan los propulsores, para determinar si son redundantes), pudiéndose incluir copia del “manoeuvring booklet” del buque.</w:t>
      </w:r>
    </w:p>
    <w:p w14:paraId="3F5919D5" w14:textId="77777777" w:rsidR="00C14177" w:rsidRPr="00666A10" w:rsidRDefault="00C14177" w:rsidP="00C14177">
      <w:pPr>
        <w:pStyle w:val="Prrafodelista"/>
        <w:spacing w:line="257" w:lineRule="auto"/>
        <w:ind w:left="568" w:hanging="284"/>
        <w:rPr>
          <w:rFonts w:ascii="Century Gothic" w:eastAsia="Calibri" w:hAnsi="Century Gothic" w:cs="Arial"/>
        </w:rPr>
      </w:pPr>
    </w:p>
    <w:p w14:paraId="5840CF94" w14:textId="778B6ECF" w:rsidR="00C14177" w:rsidRPr="00666A10" w:rsidRDefault="00C14177" w:rsidP="00C14177">
      <w:pPr>
        <w:spacing w:line="257" w:lineRule="auto"/>
        <w:ind w:left="568" w:hanging="284"/>
        <w:jc w:val="both"/>
        <w:rPr>
          <w:rFonts w:ascii="Century Gothic" w:hAnsi="Century Gothic"/>
        </w:rPr>
      </w:pPr>
      <w:r w:rsidRPr="00666A10">
        <w:rPr>
          <w:rFonts w:ascii="Century Gothic" w:eastAsia="Calibri" w:hAnsi="Century Gothic" w:cs="Arial"/>
        </w:rPr>
        <w:t xml:space="preserve">V. </w:t>
      </w:r>
      <w:r w:rsidRPr="00666A10">
        <w:rPr>
          <w:rFonts w:ascii="Century Gothic" w:eastAsia="Calibri" w:hAnsi="Century Gothic" w:cs="Arial"/>
        </w:rPr>
        <w:tab/>
      </w:r>
      <w:r w:rsidRPr="00666A10">
        <w:rPr>
          <w:rFonts w:ascii="Century Gothic" w:hAnsi="Century Gothic"/>
        </w:rPr>
        <w:t>Documento de aprobación para el instrumento de estabilidad de conformidad con el punto 2.2.6, del anexo al código IGC.</w:t>
      </w:r>
    </w:p>
    <w:p w14:paraId="49683A61" w14:textId="77777777" w:rsidR="00C14177" w:rsidRPr="00666A10" w:rsidRDefault="00C14177" w:rsidP="00C14177">
      <w:pPr>
        <w:pStyle w:val="Prrafodelista"/>
        <w:spacing w:line="257" w:lineRule="auto"/>
        <w:ind w:left="568" w:hanging="284"/>
        <w:rPr>
          <w:rFonts w:ascii="Century Gothic" w:hAnsi="Century Gothic"/>
        </w:rPr>
      </w:pPr>
      <w:r w:rsidRPr="00666A10">
        <w:rPr>
          <w:rFonts w:ascii="Century Gothic" w:hAnsi="Century Gothic"/>
        </w:rPr>
        <w:t xml:space="preserve"> </w:t>
      </w:r>
    </w:p>
    <w:p w14:paraId="3E947E5E" w14:textId="77777777" w:rsidR="00C14177" w:rsidRPr="00666A10" w:rsidRDefault="00C14177" w:rsidP="006965D8">
      <w:pPr>
        <w:pStyle w:val="Prrafodelista"/>
        <w:numPr>
          <w:ilvl w:val="0"/>
          <w:numId w:val="73"/>
        </w:numPr>
        <w:spacing w:line="257" w:lineRule="auto"/>
        <w:ind w:hanging="436"/>
        <w:jc w:val="both"/>
        <w:rPr>
          <w:rFonts w:ascii="Century Gothic" w:hAnsi="Century Gothic"/>
        </w:rPr>
      </w:pPr>
      <w:r w:rsidRPr="00666A10">
        <w:rPr>
          <w:rFonts w:ascii="Century Gothic" w:hAnsi="Century Gothic"/>
        </w:rPr>
        <w:t>Modelo de Joint Plan of Bunker Operations que cubre toda la información recogida en la bunker checklist de la IAPH.</w:t>
      </w:r>
    </w:p>
    <w:p w14:paraId="61C0C1E6" w14:textId="77777777" w:rsidR="00C14177" w:rsidRPr="00666A10" w:rsidRDefault="00C14177" w:rsidP="00C14177">
      <w:pPr>
        <w:pStyle w:val="Prrafodelista"/>
        <w:spacing w:line="257" w:lineRule="auto"/>
        <w:ind w:left="568" w:hanging="284"/>
        <w:rPr>
          <w:rFonts w:ascii="Century Gothic" w:hAnsi="Century Gothic"/>
        </w:rPr>
      </w:pPr>
    </w:p>
    <w:p w14:paraId="3ADB8805" w14:textId="77777777" w:rsidR="00C14177" w:rsidRPr="00666A10" w:rsidRDefault="00C14177" w:rsidP="006965D8">
      <w:pPr>
        <w:pStyle w:val="Prrafodelista"/>
        <w:numPr>
          <w:ilvl w:val="0"/>
          <w:numId w:val="73"/>
        </w:numPr>
        <w:spacing w:line="257" w:lineRule="auto"/>
        <w:ind w:hanging="436"/>
        <w:jc w:val="both"/>
        <w:rPr>
          <w:rFonts w:ascii="Century Gothic" w:hAnsi="Century Gothic"/>
        </w:rPr>
      </w:pPr>
      <w:r w:rsidRPr="00666A10">
        <w:rPr>
          <w:rFonts w:ascii="Century Gothic" w:eastAsia="Calibri" w:hAnsi="Century Gothic" w:cs="Arial"/>
        </w:rPr>
        <w:t xml:space="preserve"> </w:t>
      </w:r>
      <w:r w:rsidRPr="00666A10">
        <w:rPr>
          <w:rFonts w:ascii="Century Gothic" w:hAnsi="Century Gothic"/>
        </w:rPr>
        <w:t>Plan de gestión del Boil-off que cubre todas las fases de las operaciones de suministro de combustible, así como las correspondientes a su estancia en puerto.</w:t>
      </w:r>
    </w:p>
    <w:p w14:paraId="12FDFE23" w14:textId="77777777" w:rsidR="00C14177" w:rsidRPr="00666A10" w:rsidRDefault="00C14177" w:rsidP="00C14177">
      <w:pPr>
        <w:pStyle w:val="Prrafodelista"/>
        <w:ind w:left="568" w:hanging="284"/>
        <w:rPr>
          <w:rFonts w:ascii="Century Gothic" w:eastAsia="Calibri" w:hAnsi="Century Gothic" w:cs="Arial"/>
        </w:rPr>
      </w:pPr>
    </w:p>
    <w:p w14:paraId="350B41C8" w14:textId="77777777" w:rsidR="00C14177" w:rsidRPr="00666A10" w:rsidRDefault="00C14177" w:rsidP="006965D8">
      <w:pPr>
        <w:pStyle w:val="Prrafodelista"/>
        <w:numPr>
          <w:ilvl w:val="0"/>
          <w:numId w:val="73"/>
        </w:numPr>
        <w:spacing w:line="257" w:lineRule="auto"/>
        <w:ind w:hanging="436"/>
        <w:jc w:val="both"/>
        <w:rPr>
          <w:rFonts w:ascii="Century Gothic" w:hAnsi="Century Gothic"/>
        </w:rPr>
      </w:pPr>
      <w:r w:rsidRPr="00666A10">
        <w:rPr>
          <w:rFonts w:ascii="Century Gothic" w:eastAsia="Calibri" w:hAnsi="Century Gothic" w:cs="Arial"/>
        </w:rPr>
        <w:t xml:space="preserve"> </w:t>
      </w:r>
      <w:r w:rsidRPr="003C1E08">
        <w:rPr>
          <w:rFonts w:ascii="Century Gothic" w:hAnsi="Century Gothic"/>
        </w:rPr>
        <w:t>Memoria</w:t>
      </w:r>
      <w:r w:rsidRPr="00666A10">
        <w:rPr>
          <w:rFonts w:ascii="Century Gothic" w:hAnsi="Century Gothic"/>
        </w:rPr>
        <w:t xml:space="preserve"> que incluya una metodología de estudio de la viabilidad del amarre: presentando un ejemplo en aguas protegidas y otro en la zona de fondeo.</w:t>
      </w:r>
    </w:p>
    <w:p w14:paraId="0BE770EC" w14:textId="77777777" w:rsidR="00C14177" w:rsidRPr="00666A10" w:rsidRDefault="00C14177" w:rsidP="00C14177">
      <w:pPr>
        <w:pStyle w:val="Prrafodelista"/>
        <w:ind w:left="568" w:hanging="284"/>
        <w:rPr>
          <w:rFonts w:ascii="Century Gothic" w:hAnsi="Century Gothic"/>
        </w:rPr>
      </w:pPr>
    </w:p>
    <w:p w14:paraId="48E3CA5A" w14:textId="77777777" w:rsidR="00C14177" w:rsidRPr="00FD74A0" w:rsidRDefault="00C14177" w:rsidP="006965D8">
      <w:pPr>
        <w:pStyle w:val="Prrafodelista"/>
        <w:numPr>
          <w:ilvl w:val="0"/>
          <w:numId w:val="73"/>
        </w:numPr>
        <w:spacing w:line="257" w:lineRule="auto"/>
        <w:ind w:hanging="436"/>
        <w:jc w:val="both"/>
        <w:rPr>
          <w:rFonts w:ascii="Century Gothic" w:hAnsi="Century Gothic"/>
        </w:rPr>
      </w:pPr>
      <w:r w:rsidRPr="00FD74A0">
        <w:rPr>
          <w:rFonts w:ascii="Century Gothic" w:hAnsi="Century Gothic"/>
        </w:rPr>
        <w:t xml:space="preserve">Manual de mantenimiento del sistema de transferencia de GNL, al objeto de conocer los elementos que configuran el sistema de transferencia; dicho sistema cumplirá los requisitos del código IGC/IGF o los mencionados en el apartado 5.3 de la norma ISO 20519. </w:t>
      </w:r>
    </w:p>
    <w:p w14:paraId="65D6B682" w14:textId="77777777" w:rsidR="00C14177" w:rsidRPr="00FD74A0" w:rsidRDefault="00C14177" w:rsidP="00C14177">
      <w:pPr>
        <w:pStyle w:val="Prrafodelista"/>
        <w:rPr>
          <w:rFonts w:ascii="Century Gothic" w:hAnsi="Century Gothic"/>
        </w:rPr>
      </w:pPr>
    </w:p>
    <w:p w14:paraId="792494EE" w14:textId="77777777" w:rsidR="00C14177" w:rsidRPr="00FD74A0" w:rsidRDefault="00C14177" w:rsidP="00C14177">
      <w:pPr>
        <w:spacing w:line="257" w:lineRule="auto"/>
        <w:jc w:val="both"/>
        <w:rPr>
          <w:rFonts w:ascii="Century Gothic" w:eastAsia="Calibri" w:hAnsi="Century Gothic" w:cs="Arial"/>
          <w:b/>
          <w:bCs/>
        </w:rPr>
      </w:pPr>
      <w:r w:rsidRPr="00FD74A0">
        <w:rPr>
          <w:rFonts w:ascii="Century Gothic" w:eastAsia="Calibri" w:hAnsi="Century Gothic" w:cs="Arial"/>
          <w:b/>
          <w:bCs/>
        </w:rPr>
        <w:t xml:space="preserve">B.2 Documentación a presentar para obtener el informe de </w:t>
      </w:r>
      <w:r>
        <w:rPr>
          <w:rFonts w:ascii="Century Gothic" w:eastAsia="Calibri" w:hAnsi="Century Gothic" w:cs="Arial"/>
          <w:b/>
          <w:bCs/>
        </w:rPr>
        <w:t xml:space="preserve">condiciones </w:t>
      </w:r>
      <w:r w:rsidRPr="00FD74A0">
        <w:rPr>
          <w:rFonts w:ascii="Century Gothic" w:eastAsia="Calibri" w:hAnsi="Century Gothic" w:cs="Arial"/>
          <w:b/>
          <w:bCs/>
        </w:rPr>
        <w:t>técnico</w:t>
      </w:r>
      <w:r>
        <w:rPr>
          <w:rFonts w:ascii="Century Gothic" w:eastAsia="Calibri" w:hAnsi="Century Gothic" w:cs="Arial"/>
          <w:b/>
          <w:bCs/>
        </w:rPr>
        <w:t>-</w:t>
      </w:r>
      <w:r w:rsidRPr="00FD74A0">
        <w:rPr>
          <w:rFonts w:ascii="Century Gothic" w:eastAsia="Calibri" w:hAnsi="Century Gothic" w:cs="Arial"/>
          <w:b/>
          <w:bCs/>
        </w:rPr>
        <w:t>náutic</w:t>
      </w:r>
      <w:r>
        <w:rPr>
          <w:rFonts w:ascii="Century Gothic" w:eastAsia="Calibri" w:hAnsi="Century Gothic" w:cs="Arial"/>
          <w:b/>
          <w:bCs/>
        </w:rPr>
        <w:t>as</w:t>
      </w:r>
      <w:r w:rsidRPr="00FD74A0">
        <w:rPr>
          <w:rFonts w:ascii="Century Gothic" w:eastAsia="Calibri" w:hAnsi="Century Gothic" w:cs="Arial"/>
          <w:b/>
          <w:bCs/>
        </w:rPr>
        <w:t>:</w:t>
      </w:r>
    </w:p>
    <w:p w14:paraId="0B726A65" w14:textId="77777777" w:rsidR="00C14177" w:rsidRPr="00DD78C8" w:rsidRDefault="00C14177" w:rsidP="006965D8">
      <w:pPr>
        <w:pStyle w:val="Prrafodelista"/>
        <w:numPr>
          <w:ilvl w:val="0"/>
          <w:numId w:val="72"/>
        </w:numPr>
        <w:spacing w:line="256" w:lineRule="auto"/>
        <w:ind w:left="426" w:hanging="284"/>
        <w:rPr>
          <w:rFonts w:ascii="Century Gothic" w:eastAsia="Calibri" w:hAnsi="Century Gothic" w:cs="Arial"/>
        </w:rPr>
      </w:pPr>
      <w:r w:rsidRPr="00DD78C8">
        <w:rPr>
          <w:rFonts w:ascii="Century Gothic" w:eastAsia="Calibri" w:hAnsi="Century Gothic" w:cs="Arial"/>
        </w:rPr>
        <w:t>Descripción de dimensiones y características técnicas del buque/s (i.e. Q-88).</w:t>
      </w:r>
    </w:p>
    <w:p w14:paraId="3F6868F4" w14:textId="77777777" w:rsidR="00C14177" w:rsidRPr="00FD74A0" w:rsidRDefault="00C14177" w:rsidP="006965D8">
      <w:pPr>
        <w:pStyle w:val="Prrafodelista"/>
        <w:numPr>
          <w:ilvl w:val="0"/>
          <w:numId w:val="72"/>
        </w:numPr>
        <w:spacing w:line="257" w:lineRule="auto"/>
        <w:ind w:left="426" w:hanging="284"/>
        <w:jc w:val="both"/>
        <w:rPr>
          <w:rFonts w:ascii="Century Gothic" w:eastAsia="Calibri" w:hAnsi="Century Gothic" w:cs="Arial"/>
        </w:rPr>
      </w:pPr>
      <w:r w:rsidRPr="00FD74A0">
        <w:rPr>
          <w:rFonts w:ascii="Century Gothic" w:eastAsia="Calibri" w:hAnsi="Century Gothic" w:cs="Arial"/>
        </w:rPr>
        <w:t>Identificación de los datos de contacto 24/7 del Designated Person Ashore (DPA) de la compañía ISM de suministro.</w:t>
      </w:r>
    </w:p>
    <w:p w14:paraId="238F1E53" w14:textId="77777777" w:rsidR="00C14177" w:rsidRPr="00DD78C8" w:rsidRDefault="00C14177" w:rsidP="006965D8">
      <w:pPr>
        <w:pStyle w:val="Prrafodelista"/>
        <w:numPr>
          <w:ilvl w:val="0"/>
          <w:numId w:val="72"/>
        </w:numPr>
        <w:spacing w:line="257" w:lineRule="auto"/>
        <w:ind w:left="426" w:hanging="284"/>
        <w:jc w:val="both"/>
        <w:rPr>
          <w:rFonts w:ascii="Century Gothic" w:eastAsia="Calibri" w:hAnsi="Century Gothic" w:cs="Arial"/>
          <w:color w:val="000000" w:themeColor="text1"/>
        </w:rPr>
      </w:pPr>
      <w:r w:rsidRPr="00DD78C8">
        <w:rPr>
          <w:rFonts w:ascii="Century Gothic" w:eastAsia="Calibri" w:hAnsi="Century Gothic" w:cs="Arial"/>
        </w:rPr>
        <w:t xml:space="preserve">Información emitida </w:t>
      </w:r>
      <w:r w:rsidRPr="00DD78C8">
        <w:rPr>
          <w:rFonts w:ascii="Century Gothic" w:hAnsi="Century Gothic"/>
          <w:color w:val="000000" w:themeColor="text1"/>
        </w:rPr>
        <w:t>por la compañía ISM donde se indique su capacidad de maniobra (descripción de los medios de propulsión y gobierno, y de las fuentes de energía que alimentan los propulsores, para determinar si son redundantes), pudiéndose incluir copia del “manoeuvring booklet” del buque.</w:t>
      </w:r>
    </w:p>
    <w:p w14:paraId="448B2D25" w14:textId="77777777" w:rsidR="00C14177" w:rsidRPr="003C1E08" w:rsidRDefault="00C14177" w:rsidP="00C14177">
      <w:pPr>
        <w:spacing w:line="257" w:lineRule="auto"/>
        <w:ind w:left="426" w:hanging="284"/>
        <w:jc w:val="both"/>
        <w:rPr>
          <w:rFonts w:ascii="Century Gothic" w:eastAsia="Calibri" w:hAnsi="Century Gothic" w:cs="Arial"/>
        </w:rPr>
      </w:pPr>
      <w:r>
        <w:rPr>
          <w:rFonts w:ascii="Century Gothic" w:hAnsi="Century Gothic"/>
        </w:rPr>
        <w:t xml:space="preserve">IV. </w:t>
      </w:r>
      <w:r w:rsidRPr="00FE41B4">
        <w:rPr>
          <w:rFonts w:ascii="Century Gothic" w:hAnsi="Century Gothic"/>
        </w:rPr>
        <w:t>Memoria descriptiva de los medios de amarre y las defensas instaladas</w:t>
      </w:r>
      <w:r>
        <w:rPr>
          <w:rFonts w:ascii="Century Gothic" w:hAnsi="Century Gothic"/>
        </w:rPr>
        <w:t>.</w:t>
      </w:r>
    </w:p>
    <w:p w14:paraId="2A4FB9DC" w14:textId="77777777" w:rsidR="00C14177" w:rsidRDefault="00C14177" w:rsidP="00C14177">
      <w:pPr>
        <w:spacing w:line="257" w:lineRule="auto"/>
        <w:ind w:left="426" w:hanging="284"/>
        <w:jc w:val="both"/>
        <w:rPr>
          <w:rFonts w:ascii="Century Gothic" w:hAnsi="Century Gothic"/>
        </w:rPr>
      </w:pPr>
      <w:r>
        <w:rPr>
          <w:rFonts w:ascii="Century Gothic" w:hAnsi="Century Gothic"/>
        </w:rPr>
        <w:t xml:space="preserve">V. </w:t>
      </w:r>
      <w:r w:rsidRPr="00FE41B4">
        <w:rPr>
          <w:rFonts w:ascii="Century Gothic" w:hAnsi="Century Gothic"/>
        </w:rPr>
        <w:t xml:space="preserve">El buque suministrador dispondrá procedimientos específicos ISM para hacer frente a las emergencias, adaptado al puerto donde presta el servicio. (Capitulo 8 Emergency preparedness del código ISM). </w:t>
      </w:r>
    </w:p>
    <w:p w14:paraId="4F9A0975" w14:textId="77777777" w:rsidR="00C14177" w:rsidRPr="00FE41B4" w:rsidRDefault="00C14177" w:rsidP="00C14177">
      <w:pPr>
        <w:spacing w:line="257" w:lineRule="auto"/>
        <w:ind w:left="426" w:hanging="284"/>
        <w:jc w:val="both"/>
        <w:rPr>
          <w:rFonts w:ascii="Century Gothic" w:hAnsi="Century Gothic"/>
        </w:rPr>
      </w:pPr>
      <w:r>
        <w:rPr>
          <w:rFonts w:ascii="Century Gothic" w:hAnsi="Century Gothic"/>
        </w:rPr>
        <w:t>VI.</w:t>
      </w:r>
      <w:r w:rsidRPr="00FE41B4">
        <w:rPr>
          <w:rFonts w:ascii="Century Gothic" w:hAnsi="Century Gothic"/>
        </w:rPr>
        <w:t xml:space="preserve"> Declaración responsable del DPA comunicando que las tripulaciones asignadas al buque suministrador  han recibido formación específica, de conformidad con lo establecido en la sección 18.7 del Código IGC y en la regla V/1-2 del Convenio STCW 2010, es decir: formación avanzada IGC para Capitán, oficiales y toda persona directamente responsable de las precauciones y manipulación del gas, y formación básica IGC para los tripulantes que tengan asignados cometidos y</w:t>
      </w:r>
      <w:r w:rsidRPr="00666A10">
        <w:t xml:space="preserve"> </w:t>
      </w:r>
      <w:r w:rsidRPr="00FE41B4">
        <w:rPr>
          <w:rFonts w:ascii="Century Gothic" w:hAnsi="Century Gothic"/>
        </w:rPr>
        <w:t>responsabilidades específicas relacionados con la carga o el equipo de carga.</w:t>
      </w:r>
    </w:p>
    <w:p w14:paraId="6F03883A" w14:textId="3099E7C8" w:rsidR="00682DE0" w:rsidRDefault="00C14177" w:rsidP="005C1D1A">
      <w:pPr>
        <w:spacing w:line="257" w:lineRule="auto"/>
        <w:ind w:left="284"/>
        <w:jc w:val="both"/>
        <w:rPr>
          <w:rFonts w:ascii="Century Gothic" w:hAnsi="Century Gothic"/>
        </w:rPr>
      </w:pPr>
      <w:r w:rsidRPr="00FE41B4">
        <w:rPr>
          <w:rFonts w:ascii="Century Gothic" w:hAnsi="Century Gothic"/>
        </w:rPr>
        <w:t>VII. Organización de las guardias que cubra tanto las guardias de navegación   como las operativas en puerto</w:t>
      </w:r>
      <w:r w:rsidR="005C1D1A">
        <w:rPr>
          <w:rFonts w:ascii="Century Gothic" w:hAnsi="Century Gothic"/>
        </w:rPr>
        <w:t>.</w:t>
      </w:r>
      <w:r w:rsidR="00682DE0" w:rsidRPr="00666A10">
        <w:rPr>
          <w:rFonts w:ascii="Century Gothic" w:hAnsi="Century Gothic"/>
        </w:rPr>
        <w:t xml:space="preserve"> </w:t>
      </w:r>
    </w:p>
    <w:p w14:paraId="605E4B9B" w14:textId="77777777" w:rsidR="008A2A7A" w:rsidRPr="00666A10" w:rsidRDefault="008A2A7A" w:rsidP="005C1D1A">
      <w:pPr>
        <w:spacing w:line="257" w:lineRule="auto"/>
        <w:ind w:left="284"/>
        <w:jc w:val="both"/>
        <w:rPr>
          <w:rFonts w:ascii="Century Gothic" w:hAnsi="Century Gothic"/>
        </w:rPr>
      </w:pPr>
    </w:p>
    <w:p w14:paraId="67345B00" w14:textId="311F0DF9" w:rsidR="00D91439" w:rsidRPr="001C11B9" w:rsidRDefault="001C11B9" w:rsidP="001C11B9">
      <w:pPr>
        <w:spacing w:before="120" w:after="120" w:line="276" w:lineRule="auto"/>
        <w:jc w:val="both"/>
        <w:rPr>
          <w:rFonts w:ascii="Century Gothic" w:eastAsia="Microsoft Sans Serif" w:hAnsi="Century Gothic" w:cs="Microsoft Sans Serif"/>
          <w:color w:val="EE0000"/>
        </w:rPr>
      </w:pPr>
      <w:r>
        <w:rPr>
          <w:rFonts w:ascii="Century Gothic" w:eastAsia="Calibri" w:hAnsi="Century Gothic" w:cs="Times New Roman"/>
          <w:b/>
          <w:bCs/>
        </w:rPr>
        <w:t>C. C</w:t>
      </w:r>
      <w:r w:rsidR="00D91439" w:rsidRPr="001C11B9">
        <w:rPr>
          <w:rFonts w:ascii="Century Gothic" w:eastAsia="Calibri" w:hAnsi="Century Gothic" w:cs="Times New Roman"/>
          <w:b/>
          <w:bCs/>
        </w:rPr>
        <w:t xml:space="preserve">arta de adhesión a los </w:t>
      </w:r>
      <w:r w:rsidR="00D278D5" w:rsidRPr="001C11B9">
        <w:rPr>
          <w:rFonts w:ascii="Century Gothic" w:eastAsia="Calibri" w:hAnsi="Century Gothic" w:cs="Times New Roman"/>
          <w:b/>
          <w:bCs/>
        </w:rPr>
        <w:t>A</w:t>
      </w:r>
      <w:r w:rsidR="00D91439" w:rsidRPr="001C11B9">
        <w:rPr>
          <w:rFonts w:ascii="Century Gothic" w:eastAsia="Calibri" w:hAnsi="Century Gothic" w:cs="Times New Roman"/>
          <w:b/>
          <w:bCs/>
        </w:rPr>
        <w:t>nálisis de riesgos genéricos</w:t>
      </w:r>
      <w:r w:rsidR="00D91439" w:rsidRPr="001C11B9">
        <w:rPr>
          <w:rFonts w:ascii="Century Gothic" w:eastAsia="Calibri" w:hAnsi="Century Gothic" w:cs="Times New Roman"/>
        </w:rPr>
        <w:t xml:space="preserve"> del puerto de </w:t>
      </w:r>
      <w:r w:rsidR="00D91439" w:rsidRPr="001C11B9">
        <w:rPr>
          <w:rFonts w:ascii="Century Gothic" w:eastAsia="Calibri" w:hAnsi="Century Gothic" w:cs="Times New Roman"/>
          <w:color w:val="ED0000"/>
        </w:rPr>
        <w:t xml:space="preserve">XX </w:t>
      </w:r>
      <w:r w:rsidR="00D91439" w:rsidRPr="001C11B9">
        <w:rPr>
          <w:rFonts w:ascii="Century Gothic" w:eastAsia="Calibri" w:hAnsi="Century Gothic" w:cs="Times New Roman"/>
        </w:rPr>
        <w:t xml:space="preserve">realizados por la Autoridad Portuaria en </w:t>
      </w:r>
      <w:r w:rsidR="00D91439" w:rsidRPr="001C11B9">
        <w:rPr>
          <w:rFonts w:ascii="Century Gothic" w:eastAsia="Times New Roman" w:hAnsi="Century Gothic" w:cs="Times New Roman"/>
        </w:rPr>
        <w:t xml:space="preserve">fecha </w:t>
      </w:r>
      <w:r w:rsidR="00D91439" w:rsidRPr="001C11B9">
        <w:rPr>
          <w:rFonts w:ascii="Century Gothic" w:eastAsia="Times New Roman" w:hAnsi="Century Gothic" w:cs="Times New Roman"/>
          <w:color w:val="FF0000"/>
        </w:rPr>
        <w:t>XX</w:t>
      </w:r>
      <w:r w:rsidR="00D91439" w:rsidRPr="001C11B9">
        <w:rPr>
          <w:rFonts w:ascii="Century Gothic" w:eastAsia="Times New Roman" w:hAnsi="Century Gothic" w:cs="Times New Roman"/>
        </w:rPr>
        <w:t xml:space="preserve">, donde el </w:t>
      </w:r>
      <w:r w:rsidR="00856C49" w:rsidRPr="001C11B9">
        <w:rPr>
          <w:rFonts w:ascii="Century Gothic" w:eastAsia="Times New Roman" w:hAnsi="Century Gothic" w:cs="Times New Roman"/>
        </w:rPr>
        <w:t>prestador</w:t>
      </w:r>
      <w:r w:rsidR="00D91439" w:rsidRPr="001C11B9">
        <w:rPr>
          <w:rFonts w:ascii="Century Gothic" w:eastAsia="Times New Roman" w:hAnsi="Century Gothic" w:cs="Times New Roman"/>
        </w:rPr>
        <w:t xml:space="preserve"> confirma que ha revisado los Análisis de riesgos genéricos del puerto</w:t>
      </w:r>
      <w:r w:rsidR="00B63140" w:rsidRPr="001C11B9">
        <w:rPr>
          <w:rFonts w:ascii="Century Gothic" w:eastAsia="Times New Roman" w:hAnsi="Century Gothic" w:cs="Times New Roman"/>
        </w:rPr>
        <w:t xml:space="preserve"> y los acepta</w:t>
      </w:r>
      <w:r w:rsidR="00B63140" w:rsidRPr="001C11B9">
        <w:rPr>
          <w:rFonts w:ascii="Century Gothic" w:eastAsia="Times New Roman" w:hAnsi="Century Gothic" w:cs="Times New Roman"/>
          <w:color w:val="FF0000"/>
        </w:rPr>
        <w:t>.</w:t>
      </w:r>
      <w:r w:rsidR="00D91439" w:rsidRPr="001C11B9">
        <w:rPr>
          <w:rFonts w:ascii="Century Gothic" w:eastAsia="Times New Roman" w:hAnsi="Century Gothic" w:cs="Times New Roman"/>
          <w:color w:val="FF0000"/>
        </w:rPr>
        <w:t xml:space="preserve"> </w:t>
      </w:r>
      <w:r w:rsidR="00D91439" w:rsidRPr="001C11B9">
        <w:rPr>
          <w:rFonts w:ascii="Century Gothic" w:eastAsia="Times New Roman" w:hAnsi="Century Gothic" w:cs="Times New Roman"/>
          <w:color w:val="ED0000"/>
        </w:rPr>
        <w:t xml:space="preserve">(incluir </w:t>
      </w:r>
      <w:r w:rsidR="00B63140" w:rsidRPr="001C11B9">
        <w:rPr>
          <w:rFonts w:ascii="Century Gothic" w:eastAsia="Times New Roman" w:hAnsi="Century Gothic" w:cs="Times New Roman"/>
          <w:color w:val="ED0000"/>
        </w:rPr>
        <w:t xml:space="preserve">por la Autoridad Portuaria </w:t>
      </w:r>
      <w:r w:rsidR="00D91439" w:rsidRPr="001C11B9">
        <w:rPr>
          <w:rFonts w:ascii="Century Gothic" w:eastAsia="Times New Roman" w:hAnsi="Century Gothic" w:cs="Times New Roman"/>
          <w:color w:val="ED0000"/>
        </w:rPr>
        <w:t>los datos de los análisis de riesgos</w:t>
      </w:r>
      <w:r w:rsidR="00B63140" w:rsidRPr="001C11B9">
        <w:rPr>
          <w:rFonts w:ascii="Century Gothic" w:eastAsia="Times New Roman" w:hAnsi="Century Gothic" w:cs="Times New Roman"/>
          <w:color w:val="ED0000"/>
        </w:rPr>
        <w:t xml:space="preserve"> (HAZID, ACR y EAC)</w:t>
      </w:r>
      <w:r w:rsidR="00D91439" w:rsidRPr="001C11B9">
        <w:rPr>
          <w:rFonts w:ascii="Century Gothic" w:eastAsia="Times New Roman" w:hAnsi="Century Gothic" w:cs="Times New Roman"/>
          <w:color w:val="ED0000"/>
        </w:rPr>
        <w:t xml:space="preserve"> realizados. </w:t>
      </w:r>
    </w:p>
    <w:p w14:paraId="5E93FA12" w14:textId="214DACB2" w:rsidR="00D91439" w:rsidRPr="00A41C52" w:rsidRDefault="00D91439" w:rsidP="00856C49">
      <w:pPr>
        <w:spacing w:before="120" w:after="120" w:line="276" w:lineRule="auto"/>
        <w:jc w:val="both"/>
        <w:rPr>
          <w:rFonts w:ascii="Century Gothic" w:eastAsia="Calibri" w:hAnsi="Century Gothic" w:cs="Arial"/>
          <w:b/>
          <w:bCs/>
        </w:rPr>
      </w:pPr>
      <w:r w:rsidRPr="00A41C52">
        <w:rPr>
          <w:rFonts w:ascii="Century Gothic" w:eastAsia="Times New Roman" w:hAnsi="Century Gothic" w:cs="Times New Roman"/>
          <w:b/>
          <w:bCs/>
        </w:rPr>
        <w:t>En caso de que la operativa de suministro de GNL a realizar no esté contemplada en los Análisis de riesgos genéricos existentes en el puerto</w:t>
      </w:r>
      <w:r w:rsidRPr="00A41C52">
        <w:rPr>
          <w:rFonts w:ascii="Century Gothic" w:eastAsia="Times New Roman" w:hAnsi="Century Gothic" w:cs="Times New Roman"/>
        </w:rPr>
        <w:t xml:space="preserve">, o bien se pretenda suministrar en una zona </w:t>
      </w:r>
      <w:r w:rsidR="00B63140">
        <w:rPr>
          <w:rFonts w:ascii="Century Gothic" w:eastAsia="Times New Roman" w:hAnsi="Century Gothic" w:cs="Times New Roman"/>
        </w:rPr>
        <w:t>no contemplada</w:t>
      </w:r>
      <w:r w:rsidR="00D278D5">
        <w:rPr>
          <w:rFonts w:ascii="Century Gothic" w:eastAsia="Times New Roman" w:hAnsi="Century Gothic" w:cs="Times New Roman"/>
        </w:rPr>
        <w:t xml:space="preserve"> en los Análisis genéricos</w:t>
      </w:r>
      <w:r w:rsidR="00B63140">
        <w:rPr>
          <w:rFonts w:ascii="Century Gothic" w:eastAsia="Times New Roman" w:hAnsi="Century Gothic" w:cs="Times New Roman"/>
        </w:rPr>
        <w:t>, o en una z</w:t>
      </w:r>
      <w:r w:rsidR="0074067B">
        <w:rPr>
          <w:rFonts w:ascii="Century Gothic" w:eastAsia="Times New Roman" w:hAnsi="Century Gothic" w:cs="Times New Roman"/>
        </w:rPr>
        <w:t>o</w:t>
      </w:r>
      <w:r w:rsidR="00B63140">
        <w:rPr>
          <w:rFonts w:ascii="Century Gothic" w:eastAsia="Times New Roman" w:hAnsi="Century Gothic" w:cs="Times New Roman"/>
        </w:rPr>
        <w:t xml:space="preserve">na </w:t>
      </w:r>
      <w:r w:rsidRPr="00A41C52">
        <w:rPr>
          <w:rFonts w:ascii="Century Gothic" w:eastAsia="Times New Roman" w:hAnsi="Century Gothic" w:cs="Times New Roman"/>
        </w:rPr>
        <w:t xml:space="preserve">vulnerable (por ejemplo, en zonas públicas), el </w:t>
      </w:r>
      <w:r w:rsidR="00856C49">
        <w:rPr>
          <w:rFonts w:ascii="Century Gothic" w:eastAsia="Times New Roman" w:hAnsi="Century Gothic" w:cs="Times New Roman"/>
        </w:rPr>
        <w:t>prestador</w:t>
      </w:r>
      <w:r w:rsidRPr="00A41C52">
        <w:rPr>
          <w:rFonts w:ascii="Century Gothic" w:eastAsia="Times New Roman" w:hAnsi="Century Gothic" w:cs="Times New Roman"/>
        </w:rPr>
        <w:t xml:space="preserve"> </w:t>
      </w:r>
      <w:r w:rsidRPr="00A41C52">
        <w:rPr>
          <w:rFonts w:ascii="Century Gothic" w:eastAsia="Times New Roman" w:hAnsi="Century Gothic" w:cs="Times New Roman"/>
          <w:b/>
          <w:bCs/>
        </w:rPr>
        <w:t xml:space="preserve">presentará análisis de </w:t>
      </w:r>
      <w:r w:rsidRPr="00A41C52">
        <w:rPr>
          <w:rFonts w:ascii="Century Gothic" w:eastAsia="Times New Roman" w:hAnsi="Century Gothic" w:cs="Times New Roman"/>
          <w:b/>
          <w:bCs/>
        </w:rPr>
        <w:lastRenderedPageBreak/>
        <w:t xml:space="preserve">riesgos </w:t>
      </w:r>
      <w:r w:rsidRPr="00600C28">
        <w:rPr>
          <w:rFonts w:ascii="Century Gothic" w:eastAsia="Times New Roman" w:hAnsi="Century Gothic" w:cs="Times New Roman"/>
          <w:color w:val="FF0000"/>
        </w:rPr>
        <w:t>(</w:t>
      </w:r>
      <w:r w:rsidR="00FF3EA7" w:rsidRPr="00600C28">
        <w:rPr>
          <w:rFonts w:ascii="Century Gothic" w:eastAsia="Times New Roman" w:hAnsi="Century Gothic" w:cs="Times New Roman"/>
          <w:color w:val="FF0000"/>
        </w:rPr>
        <w:t xml:space="preserve">incluir o </w:t>
      </w:r>
      <w:r w:rsidR="00600C28">
        <w:rPr>
          <w:rFonts w:ascii="Century Gothic" w:eastAsia="Times New Roman" w:hAnsi="Century Gothic" w:cs="Times New Roman"/>
          <w:color w:val="FF0000"/>
        </w:rPr>
        <w:t>no</w:t>
      </w:r>
      <w:r w:rsidR="002A052E" w:rsidRPr="00600C28">
        <w:rPr>
          <w:rFonts w:ascii="Century Gothic" w:eastAsia="Times New Roman" w:hAnsi="Century Gothic" w:cs="Times New Roman"/>
          <w:color w:val="FF0000"/>
        </w:rPr>
        <w:t xml:space="preserve"> </w:t>
      </w:r>
      <w:r w:rsidR="00600C28" w:rsidRPr="00600C28">
        <w:rPr>
          <w:rFonts w:ascii="Century Gothic" w:eastAsia="Times New Roman" w:hAnsi="Century Gothic" w:cs="Times New Roman"/>
          <w:color w:val="FF0000"/>
        </w:rPr>
        <w:t>HAZID, ACR y EAC</w:t>
      </w:r>
      <w:r w:rsidR="002A052E" w:rsidRPr="00600C28">
        <w:rPr>
          <w:rFonts w:ascii="Century Gothic" w:eastAsia="Times New Roman" w:hAnsi="Century Gothic" w:cs="Times New Roman"/>
          <w:color w:val="FF0000"/>
        </w:rPr>
        <w:t xml:space="preserve"> </w:t>
      </w:r>
      <w:r w:rsidR="00FF3EA7" w:rsidRPr="00600C28">
        <w:rPr>
          <w:rFonts w:ascii="Century Gothic" w:eastAsia="Times New Roman" w:hAnsi="Century Gothic" w:cs="Times New Roman"/>
          <w:color w:val="FF0000"/>
        </w:rPr>
        <w:t>por la Autoridad Portuaria</w:t>
      </w:r>
      <w:r w:rsidRPr="00600C28">
        <w:rPr>
          <w:rFonts w:ascii="Century Gothic" w:eastAsia="Times New Roman" w:hAnsi="Century Gothic" w:cs="Times New Roman"/>
          <w:color w:val="FF0000"/>
        </w:rPr>
        <w:t xml:space="preserve">) </w:t>
      </w:r>
      <w:r w:rsidRPr="00A41C52">
        <w:rPr>
          <w:rFonts w:ascii="Century Gothic" w:eastAsia="Times New Roman" w:hAnsi="Century Gothic" w:cs="Times New Roman"/>
          <w:b/>
          <w:bCs/>
        </w:rPr>
        <w:t xml:space="preserve">específicos para el estudio de la operativa concreta. </w:t>
      </w:r>
    </w:p>
    <w:p w14:paraId="6DED7408" w14:textId="77777777" w:rsidR="00D91439" w:rsidRPr="00A41C52" w:rsidRDefault="00D91439" w:rsidP="006965D8">
      <w:pPr>
        <w:numPr>
          <w:ilvl w:val="0"/>
          <w:numId w:val="66"/>
        </w:numPr>
        <w:spacing w:before="120" w:after="120" w:line="276" w:lineRule="auto"/>
        <w:ind w:left="0" w:firstLine="0"/>
        <w:jc w:val="both"/>
        <w:rPr>
          <w:rFonts w:ascii="Century Gothic" w:eastAsia="Times New Roman" w:hAnsi="Century Gothic" w:cs="Times New Roman"/>
        </w:rPr>
      </w:pPr>
      <w:r w:rsidRPr="00A41C52">
        <w:rPr>
          <w:rFonts w:ascii="Century Gothic" w:eastAsia="Times New Roman" w:hAnsi="Century Gothic" w:cs="Times New Roman"/>
        </w:rPr>
        <w:t xml:space="preserve">Únicamente en caso de que la operación necesite que las distancias de seguridad sean inferiores a las establecidas por defecto en las Condiciones Técnicas (por ejemplo, cuando las distancias de seguridad por defecto interfieran con SIMOPS o afecten a una instalación, entre otras causas), presentación de un </w:t>
      </w:r>
      <w:r w:rsidRPr="00A41C52">
        <w:rPr>
          <w:rFonts w:ascii="Century Gothic" w:eastAsia="Times New Roman" w:hAnsi="Century Gothic" w:cs="Times New Roman"/>
          <w:b/>
          <w:bCs/>
        </w:rPr>
        <w:t>Estudio justificativo de distancias</w:t>
      </w:r>
      <w:r w:rsidRPr="00A41C52">
        <w:rPr>
          <w:rFonts w:ascii="Century Gothic" w:eastAsia="Times New Roman" w:hAnsi="Century Gothic" w:cs="Times New Roman"/>
        </w:rPr>
        <w:t xml:space="preserve"> a considerar en la operación, acompañado de un análisis cuantitativo de riesgos (ACR) que usará como guía metodológica y referencia principal de frecuencias de fallo el manual BEVI 3.2, o última versión disponible en inglés del Purple Book. </w:t>
      </w:r>
    </w:p>
    <w:p w14:paraId="30BDCE83" w14:textId="5365FE9A" w:rsidR="00D91439" w:rsidRPr="00CE4FB7" w:rsidRDefault="00D91439" w:rsidP="006965D8">
      <w:pPr>
        <w:pStyle w:val="Prrafodelista"/>
        <w:widowControl w:val="0"/>
        <w:numPr>
          <w:ilvl w:val="0"/>
          <w:numId w:val="66"/>
        </w:numPr>
        <w:autoSpaceDE w:val="0"/>
        <w:autoSpaceDN w:val="0"/>
        <w:spacing w:before="120" w:after="120" w:line="276" w:lineRule="auto"/>
        <w:ind w:left="0" w:firstLine="0"/>
        <w:jc w:val="both"/>
        <w:rPr>
          <w:rFonts w:ascii="Century Gothic" w:eastAsia="Microsoft Sans Serif" w:hAnsi="Century Gothic" w:cs="Microsoft Sans Serif"/>
        </w:rPr>
      </w:pPr>
      <w:r w:rsidRPr="00CE4FB7">
        <w:rPr>
          <w:rFonts w:ascii="Century Gothic" w:eastAsia="Calibri" w:hAnsi="Century Gothic" w:cs="Times New Roman"/>
          <w:b/>
          <w:bCs/>
        </w:rPr>
        <w:t>Planes de respuesta frente a emergencias</w:t>
      </w:r>
      <w:r w:rsidRPr="00CE4FB7">
        <w:rPr>
          <w:rFonts w:ascii="Century Gothic" w:eastAsia="Calibri" w:hAnsi="Century Gothic" w:cs="Times New Roman"/>
        </w:rPr>
        <w:t>, que deberán incluir</w:t>
      </w:r>
      <w:r w:rsidR="00CE4FB7" w:rsidRPr="00CE4FB7">
        <w:rPr>
          <w:rFonts w:ascii="Century Gothic" w:eastAsia="Calibri" w:hAnsi="Century Gothic" w:cs="Times New Roman"/>
        </w:rPr>
        <w:t xml:space="preserve"> el</w:t>
      </w:r>
      <w:r w:rsidRPr="00CE4FB7">
        <w:rPr>
          <w:rFonts w:ascii="Century Gothic" w:eastAsia="Microsoft Sans Serif" w:hAnsi="Century Gothic" w:cs="Microsoft Sans Serif"/>
        </w:rPr>
        <w:t xml:space="preserve"> Plan de respuesta frente a emergencias de la operación de suministro para el control de riesgos</w:t>
      </w:r>
      <w:r w:rsidR="00CC251E">
        <w:rPr>
          <w:rFonts w:ascii="Century Gothic" w:eastAsia="Microsoft Sans Serif" w:hAnsi="Century Gothic" w:cs="Microsoft Sans Serif"/>
        </w:rPr>
        <w:t xml:space="preserve"> y el listado de contactos para casos de emergencia</w:t>
      </w:r>
      <w:r w:rsidRPr="00CE4FB7">
        <w:rPr>
          <w:rFonts w:ascii="Century Gothic" w:eastAsia="Microsoft Sans Serif" w:hAnsi="Century Gothic" w:cs="Microsoft Sans Serif"/>
        </w:rPr>
        <w:t>. El alcance de este plan contemplará tanto la operación de suministro, así como toda la estancia en la zona de servicio portuaria de los medios utilizados. Para la modalidad de suministro STS con base en puerto este plan también incluirá el plan de respuesta frente a emergencias para el control de los riesgos durante la estancia del buque en los muelles designados, que contemplará la organización y las situaciones de respuesta ante emergencias.</w:t>
      </w:r>
    </w:p>
    <w:p w14:paraId="4B67BDF0" w14:textId="5C0E83F0" w:rsidR="00D91439" w:rsidRPr="00162F42" w:rsidRDefault="00D91439" w:rsidP="006965D8">
      <w:pPr>
        <w:pStyle w:val="Prrafodelista"/>
        <w:numPr>
          <w:ilvl w:val="0"/>
          <w:numId w:val="66"/>
        </w:numPr>
        <w:spacing w:before="120" w:after="120" w:line="276" w:lineRule="auto"/>
        <w:ind w:left="0" w:firstLine="0"/>
        <w:jc w:val="both"/>
        <w:rPr>
          <w:rFonts w:ascii="Century Gothic" w:eastAsia="Microsoft Sans Serif" w:hAnsi="Century Gothic" w:cs="Microsoft Sans Serif"/>
          <w:color w:val="FF0000"/>
        </w:rPr>
      </w:pPr>
      <w:r w:rsidRPr="00162F42">
        <w:rPr>
          <w:rFonts w:ascii="Century Gothic" w:eastAsia="Microsoft Sans Serif" w:hAnsi="Century Gothic" w:cs="Microsoft Sans Serif"/>
          <w:color w:val="FF0000"/>
        </w:rPr>
        <w:t>En caso de operaciones STS</w:t>
      </w:r>
      <w:r w:rsidRPr="00162F42">
        <w:rPr>
          <w:rFonts w:ascii="Century Gothic" w:eastAsia="Calibri" w:hAnsi="Century Gothic" w:cs="Times New Roman"/>
          <w:color w:val="FF0000"/>
        </w:rPr>
        <w:t xml:space="preserve"> en el canal principal de navegación se incluirá un</w:t>
      </w:r>
      <w:r w:rsidRPr="00162F42">
        <w:rPr>
          <w:rFonts w:ascii="Century Gothic" w:eastAsia="Microsoft Sans Serif" w:hAnsi="Century Gothic" w:cs="Microsoft Sans Serif"/>
          <w:color w:val="FF0000"/>
        </w:rPr>
        <w:t xml:space="preserve"> análisis passing ship del peor de los escenarios que se contemplen para el suministro de GNL. Para operaciones de suministro en el canal principal de navegación se presentan, a modo orientativo, los requisitos que deben tenerse en cuenta para realizar el análisis passing ship.</w:t>
      </w:r>
    </w:p>
    <w:p w14:paraId="65EE735B" w14:textId="77777777" w:rsidR="00D91439" w:rsidRPr="00162F42" w:rsidRDefault="00D91439" w:rsidP="006965D8">
      <w:pPr>
        <w:numPr>
          <w:ilvl w:val="0"/>
          <w:numId w:val="44"/>
        </w:numPr>
        <w:spacing w:before="120" w:after="120" w:line="276" w:lineRule="auto"/>
        <w:ind w:left="0" w:firstLine="0"/>
        <w:jc w:val="both"/>
        <w:rPr>
          <w:rFonts w:ascii="Century Gothic" w:eastAsia="Times New Roman" w:hAnsi="Century Gothic" w:cs="Times New Roman"/>
          <w:color w:val="FF0000"/>
        </w:rPr>
      </w:pPr>
      <w:r w:rsidRPr="00162F42">
        <w:rPr>
          <w:rFonts w:ascii="Century Gothic" w:eastAsia="Times New Roman" w:hAnsi="Century Gothic" w:cs="Times New Roman"/>
          <w:color w:val="FF0000"/>
        </w:rPr>
        <w:t>Passing ship: el buque de mayor tamaño que puede navegar en las proximidades del STS (por ejemplo, Oasis of the Seas)</w:t>
      </w:r>
    </w:p>
    <w:p w14:paraId="07CC5BBB" w14:textId="77777777" w:rsidR="00D91439" w:rsidRPr="00162F42" w:rsidRDefault="00D91439" w:rsidP="006965D8">
      <w:pPr>
        <w:numPr>
          <w:ilvl w:val="0"/>
          <w:numId w:val="44"/>
        </w:numPr>
        <w:spacing w:before="120" w:after="120" w:line="276" w:lineRule="auto"/>
        <w:ind w:left="0" w:firstLine="0"/>
        <w:jc w:val="both"/>
        <w:rPr>
          <w:rFonts w:ascii="Century Gothic" w:eastAsia="Times New Roman" w:hAnsi="Century Gothic" w:cs="Times New Roman"/>
          <w:color w:val="FF0000"/>
        </w:rPr>
      </w:pPr>
      <w:r w:rsidRPr="00162F42">
        <w:rPr>
          <w:rFonts w:ascii="Century Gothic" w:eastAsia="Times New Roman" w:hAnsi="Century Gothic" w:cs="Times New Roman"/>
          <w:color w:val="FF0000"/>
        </w:rPr>
        <w:t>Passing speed: 6 knots</w:t>
      </w:r>
    </w:p>
    <w:p w14:paraId="45E7B71A" w14:textId="77777777" w:rsidR="00D91439" w:rsidRPr="00162F42" w:rsidRDefault="00D91439" w:rsidP="006965D8">
      <w:pPr>
        <w:numPr>
          <w:ilvl w:val="0"/>
          <w:numId w:val="44"/>
        </w:numPr>
        <w:spacing w:before="120" w:after="120" w:line="276" w:lineRule="auto"/>
        <w:ind w:left="0" w:firstLine="0"/>
        <w:jc w:val="both"/>
        <w:rPr>
          <w:rFonts w:ascii="Century Gothic" w:eastAsia="Times New Roman" w:hAnsi="Century Gothic" w:cs="Times New Roman"/>
          <w:color w:val="FF0000"/>
        </w:rPr>
      </w:pPr>
      <w:r w:rsidRPr="00162F42">
        <w:rPr>
          <w:rFonts w:ascii="Century Gothic" w:eastAsia="Times New Roman" w:hAnsi="Century Gothic" w:cs="Times New Roman"/>
          <w:color w:val="FF0000"/>
        </w:rPr>
        <w:t>Condiciones meteorológicas: los límites operacionales del suministro de GNL</w:t>
      </w:r>
    </w:p>
    <w:p w14:paraId="656833B0" w14:textId="77777777" w:rsidR="00D91439" w:rsidRPr="00162F42" w:rsidRDefault="00D91439" w:rsidP="006965D8">
      <w:pPr>
        <w:numPr>
          <w:ilvl w:val="0"/>
          <w:numId w:val="44"/>
        </w:numPr>
        <w:spacing w:before="120" w:after="120" w:line="276" w:lineRule="auto"/>
        <w:ind w:left="0" w:firstLine="0"/>
        <w:jc w:val="both"/>
        <w:rPr>
          <w:rFonts w:ascii="Century Gothic" w:eastAsia="Times New Roman" w:hAnsi="Century Gothic" w:cs="Times New Roman"/>
          <w:color w:val="FF0000"/>
        </w:rPr>
      </w:pPr>
      <w:r w:rsidRPr="00162F42">
        <w:rPr>
          <w:rFonts w:ascii="Century Gothic" w:eastAsia="Times New Roman" w:hAnsi="Century Gothic" w:cs="Times New Roman"/>
          <w:color w:val="FF0000"/>
        </w:rPr>
        <w:t>Condiciones de contorno: Se tendrá en cuenta el escenario plausible de buques atracados en el contorno que puedan producir una reducción de la vía navegable o canal.</w:t>
      </w:r>
    </w:p>
    <w:p w14:paraId="6F076C61" w14:textId="77777777" w:rsidR="00682DE0" w:rsidRPr="00162F42" w:rsidRDefault="00682DE0" w:rsidP="00AF677B">
      <w:pPr>
        <w:spacing w:line="256" w:lineRule="auto"/>
        <w:contextualSpacing/>
        <w:rPr>
          <w:rFonts w:ascii="Century Gothic" w:eastAsia="Calibri" w:hAnsi="Century Gothic" w:cs="Arial"/>
          <w:color w:val="FF0000"/>
        </w:rPr>
      </w:pPr>
    </w:p>
    <w:p w14:paraId="6993DF92" w14:textId="6878EB9E" w:rsidR="00D91439" w:rsidRPr="00162F42" w:rsidRDefault="00D91439" w:rsidP="00AF677B">
      <w:pPr>
        <w:spacing w:before="120" w:after="120" w:line="276" w:lineRule="auto"/>
        <w:jc w:val="both"/>
        <w:rPr>
          <w:rFonts w:ascii="Century Gothic" w:eastAsia="Calibri" w:hAnsi="Century Gothic" w:cs="Times New Roman"/>
          <w:color w:val="FF0000"/>
        </w:rPr>
      </w:pPr>
      <w:r w:rsidRPr="00162F42">
        <w:rPr>
          <w:rFonts w:ascii="Century Gothic" w:eastAsia="Calibri" w:hAnsi="Century Gothic" w:cs="Times New Roman"/>
          <w:color w:val="FF0000"/>
        </w:rPr>
        <w:t>La Autoridad Portuaria confirmará los requisitos a tener en cuenta para la realización de este análisis passing ship.</w:t>
      </w:r>
    </w:p>
    <w:p w14:paraId="1DF35442" w14:textId="77777777" w:rsidR="00CE4FB7" w:rsidRPr="00227A33" w:rsidRDefault="00CE4FB7" w:rsidP="00AF677B">
      <w:pPr>
        <w:spacing w:before="120" w:after="120" w:line="276" w:lineRule="auto"/>
        <w:contextualSpacing/>
        <w:jc w:val="both"/>
        <w:rPr>
          <w:rFonts w:ascii="Century Gothic" w:eastAsia="Calibri" w:hAnsi="Century Gothic" w:cs="Times New Roman"/>
        </w:rPr>
      </w:pPr>
      <w:r w:rsidRPr="00227A33">
        <w:rPr>
          <w:rFonts w:ascii="Century Gothic" w:eastAsia="Calibri" w:hAnsi="Century Gothic" w:cs="Times New Roman"/>
        </w:rPr>
        <w:t xml:space="preserve">La Autoridad Portuaria podrá requerir otra documentación adicional que considere necesaria para </w:t>
      </w:r>
      <w:r w:rsidRPr="00A41C52">
        <w:rPr>
          <w:rFonts w:ascii="Century Gothic" w:eastAsia="Calibri" w:hAnsi="Century Gothic" w:cs="Times New Roman"/>
        </w:rPr>
        <w:t>resolver la Validación Técnica</w:t>
      </w:r>
      <w:r w:rsidRPr="00227A33">
        <w:rPr>
          <w:rFonts w:ascii="Century Gothic" w:eastAsia="Calibri" w:hAnsi="Century Gothic" w:cs="Times New Roman"/>
        </w:rPr>
        <w:t>.</w:t>
      </w:r>
    </w:p>
    <w:p w14:paraId="1AF433BB" w14:textId="7A8112C7" w:rsidR="00CE4FB7" w:rsidRPr="00227A33" w:rsidRDefault="00CE4FB7" w:rsidP="00AF677B">
      <w:pPr>
        <w:spacing w:before="120" w:after="120" w:line="276" w:lineRule="auto"/>
        <w:contextualSpacing/>
        <w:jc w:val="both"/>
        <w:rPr>
          <w:rFonts w:ascii="Century Gothic" w:eastAsia="Calibri" w:hAnsi="Century Gothic" w:cs="Times New Roman"/>
          <w:color w:val="ED0000"/>
        </w:rPr>
      </w:pPr>
      <w:r>
        <w:rPr>
          <w:rFonts w:ascii="Century Gothic" w:eastAsia="Calibri" w:hAnsi="Century Gothic" w:cs="Times New Roman"/>
          <w:color w:val="ED0000"/>
        </w:rPr>
        <w:t>(</w:t>
      </w:r>
      <w:r w:rsidRPr="00227A33">
        <w:rPr>
          <w:rFonts w:ascii="Century Gothic" w:eastAsia="Calibri" w:hAnsi="Century Gothic" w:cs="Times New Roman"/>
          <w:color w:val="ED0000"/>
        </w:rPr>
        <w:t xml:space="preserve">Para operaciones en plantas de regasificación la Autoridad Portuaria y/o la planta podrá requerir documentación técnica adicional para realizar la </w:t>
      </w:r>
      <w:r w:rsidR="0011276A">
        <w:rPr>
          <w:rFonts w:ascii="Century Gothic" w:eastAsia="Calibri" w:hAnsi="Century Gothic" w:cs="Times New Roman"/>
          <w:color w:val="ED0000"/>
        </w:rPr>
        <w:t>operación adicional a</w:t>
      </w:r>
      <w:r w:rsidRPr="00227A33">
        <w:rPr>
          <w:rFonts w:ascii="Century Gothic" w:eastAsia="Calibri" w:hAnsi="Century Gothic" w:cs="Times New Roman"/>
          <w:color w:val="ED0000"/>
        </w:rPr>
        <w:t xml:space="preserve"> la requerida para</w:t>
      </w:r>
      <w:r w:rsidR="0011276A">
        <w:rPr>
          <w:rFonts w:ascii="Century Gothic" w:eastAsia="Calibri" w:hAnsi="Century Gothic" w:cs="Times New Roman"/>
          <w:color w:val="ED0000"/>
        </w:rPr>
        <w:t xml:space="preserve"> la</w:t>
      </w:r>
      <w:r w:rsidRPr="00227A33">
        <w:rPr>
          <w:rFonts w:ascii="Century Gothic" w:eastAsia="Calibri" w:hAnsi="Century Gothic" w:cs="Times New Roman"/>
          <w:color w:val="ED0000"/>
        </w:rPr>
        <w:t xml:space="preserve"> obtención de</w:t>
      </w:r>
      <w:r w:rsidR="0011276A">
        <w:rPr>
          <w:rFonts w:ascii="Century Gothic" w:eastAsia="Calibri" w:hAnsi="Century Gothic" w:cs="Times New Roman"/>
          <w:color w:val="ED0000"/>
        </w:rPr>
        <w:t xml:space="preserve"> esta validación</w:t>
      </w:r>
      <w:r w:rsidRPr="00227A33">
        <w:rPr>
          <w:rFonts w:ascii="Century Gothic" w:eastAsia="Calibri" w:hAnsi="Century Gothic" w:cs="Times New Roman"/>
          <w:color w:val="ED0000"/>
        </w:rPr>
        <w:t xml:space="preserve"> técnica.</w:t>
      </w:r>
      <w:r>
        <w:rPr>
          <w:rFonts w:ascii="Century Gothic" w:eastAsia="Calibri" w:hAnsi="Century Gothic" w:cs="Times New Roman"/>
          <w:color w:val="ED0000"/>
        </w:rPr>
        <w:t>)</w:t>
      </w:r>
    </w:p>
    <w:p w14:paraId="68F4CECF" w14:textId="77777777" w:rsidR="00D91439" w:rsidRPr="00227A33" w:rsidRDefault="00D91439" w:rsidP="00D91439">
      <w:pPr>
        <w:spacing w:before="120" w:after="120" w:line="276" w:lineRule="auto"/>
        <w:ind w:left="1560"/>
        <w:rPr>
          <w:rFonts w:ascii="Century Gothic" w:eastAsia="Calibri" w:hAnsi="Century Gothic" w:cs="Times New Roman"/>
        </w:rPr>
      </w:pPr>
    </w:p>
    <w:p w14:paraId="12AED530" w14:textId="77777777" w:rsidR="00D91439" w:rsidRPr="0040725A" w:rsidRDefault="00D91439" w:rsidP="006965D8">
      <w:pPr>
        <w:pStyle w:val="Prrafodelista"/>
        <w:numPr>
          <w:ilvl w:val="0"/>
          <w:numId w:val="37"/>
        </w:numPr>
        <w:spacing w:before="120" w:after="120" w:line="276" w:lineRule="auto"/>
        <w:jc w:val="both"/>
        <w:rPr>
          <w:rFonts w:ascii="Century Gothic" w:eastAsia="Calibri" w:hAnsi="Century Gothic" w:cs="Times New Roman"/>
          <w:b/>
          <w:bCs/>
          <w:sz w:val="28"/>
          <w:szCs w:val="28"/>
        </w:rPr>
      </w:pPr>
      <w:r w:rsidRPr="0040725A">
        <w:rPr>
          <w:rFonts w:ascii="Century Gothic" w:eastAsia="Calibri" w:hAnsi="Century Gothic" w:cs="Arial"/>
          <w:b/>
          <w:bCs/>
          <w:sz w:val="28"/>
          <w:szCs w:val="28"/>
        </w:rPr>
        <w:lastRenderedPageBreak/>
        <w:t>DOCUMENTACIÓN PARA LA NOTIFICACIÓN PREVIA A CADA OPERACIÓN DE SUMINISTRO DE GNL</w:t>
      </w:r>
    </w:p>
    <w:p w14:paraId="58353AD3" w14:textId="77777777" w:rsidR="00D91439" w:rsidRPr="00227A33" w:rsidRDefault="00D91439" w:rsidP="00D91439">
      <w:pPr>
        <w:spacing w:line="256" w:lineRule="auto"/>
        <w:ind w:left="720"/>
        <w:contextualSpacing/>
        <w:rPr>
          <w:rFonts w:ascii="Century Gothic" w:eastAsia="Times New Roman" w:hAnsi="Century Gothic" w:cs="Times New Roman"/>
          <w:b/>
          <w:bCs/>
        </w:rPr>
      </w:pPr>
    </w:p>
    <w:p w14:paraId="0D1E86D3" w14:textId="3D063168" w:rsidR="00D91439" w:rsidRPr="00A41C52" w:rsidRDefault="00D91439" w:rsidP="00056982">
      <w:pPr>
        <w:tabs>
          <w:tab w:val="center" w:pos="4645"/>
        </w:tabs>
        <w:autoSpaceDE w:val="0"/>
        <w:autoSpaceDN w:val="0"/>
        <w:adjustRightInd w:val="0"/>
        <w:spacing w:after="240" w:line="288" w:lineRule="auto"/>
        <w:contextualSpacing/>
        <w:jc w:val="both"/>
        <w:rPr>
          <w:rFonts w:ascii="Century Gothic" w:eastAsia="Times New Roman" w:hAnsi="Century Gothic" w:cs="Cambria"/>
          <w:lang w:eastAsia="es-ES"/>
        </w:rPr>
      </w:pPr>
      <w:r w:rsidRPr="00A41C52">
        <w:rPr>
          <w:rFonts w:ascii="Century Gothic" w:hAnsi="Century Gothic" w:cs="Cambria"/>
          <w:lang w:eastAsia="es-ES"/>
        </w:rPr>
        <w:t xml:space="preserve">Antes de </w:t>
      </w:r>
      <w:r w:rsidRPr="005B6DF4">
        <w:rPr>
          <w:rFonts w:ascii="Century Gothic" w:hAnsi="Century Gothic" w:cs="Cambria"/>
          <w:b/>
          <w:bCs/>
          <w:lang w:eastAsia="es-ES"/>
        </w:rPr>
        <w:t>cada</w:t>
      </w:r>
      <w:r w:rsidRPr="005B6DF4">
        <w:rPr>
          <w:rFonts w:ascii="Century Gothic" w:hAnsi="Century Gothic" w:cs="Cambria"/>
          <w:b/>
          <w:bCs/>
          <w:shd w:val="clear" w:color="auto" w:fill="FFFFFF" w:themeFill="background1"/>
          <w:lang w:eastAsia="es-ES"/>
        </w:rPr>
        <w:t xml:space="preserve"> </w:t>
      </w:r>
      <w:r w:rsidR="0040725A" w:rsidRPr="005B6DF4">
        <w:rPr>
          <w:rFonts w:ascii="Century Gothic" w:hAnsi="Century Gothic" w:cs="Cambria"/>
          <w:b/>
          <w:bCs/>
          <w:shd w:val="clear" w:color="auto" w:fill="FFFFFF" w:themeFill="background1"/>
          <w:lang w:eastAsia="es-ES"/>
        </w:rPr>
        <w:t>operación</w:t>
      </w:r>
      <w:r w:rsidR="0040725A">
        <w:rPr>
          <w:rFonts w:ascii="Century Gothic" w:hAnsi="Century Gothic" w:cs="Cambria"/>
          <w:shd w:val="clear" w:color="auto" w:fill="FFFFFF" w:themeFill="background1"/>
          <w:lang w:eastAsia="es-ES"/>
        </w:rPr>
        <w:t xml:space="preserve"> de </w:t>
      </w:r>
      <w:r w:rsidRPr="00A41C52">
        <w:rPr>
          <w:rFonts w:ascii="Century Gothic" w:hAnsi="Century Gothic" w:cs="Cambria"/>
          <w:shd w:val="clear" w:color="auto" w:fill="FFFFFF" w:themeFill="background1"/>
          <w:lang w:eastAsia="es-ES"/>
        </w:rPr>
        <w:t>suministro de combustible</w:t>
      </w:r>
      <w:r w:rsidR="00C07C83">
        <w:rPr>
          <w:rFonts w:ascii="Century Gothic" w:hAnsi="Century Gothic" w:cs="Cambria"/>
          <w:shd w:val="clear" w:color="auto" w:fill="FFFFFF" w:themeFill="background1"/>
          <w:lang w:eastAsia="es-ES"/>
        </w:rPr>
        <w:t xml:space="preserve"> y</w:t>
      </w:r>
      <w:r w:rsidRPr="00A41C52">
        <w:rPr>
          <w:rFonts w:ascii="Century Gothic" w:hAnsi="Century Gothic" w:cs="Cambria"/>
          <w:shd w:val="clear" w:color="auto" w:fill="FFFFFF" w:themeFill="background1"/>
          <w:lang w:eastAsia="es-ES"/>
        </w:rPr>
        <w:t xml:space="preserve"> </w:t>
      </w:r>
      <w:r w:rsidR="00C07C83">
        <w:rPr>
          <w:rFonts w:ascii="Century Gothic" w:hAnsi="Century Gothic" w:cs="Cambria"/>
          <w:shd w:val="clear" w:color="auto" w:fill="FFFFFF" w:themeFill="background1"/>
          <w:lang w:eastAsia="es-ES"/>
        </w:rPr>
        <w:t xml:space="preserve">conforme al procedimiento que se detalla en el Anexo I-STS, </w:t>
      </w:r>
      <w:r w:rsidRPr="00A41C52">
        <w:rPr>
          <w:rFonts w:ascii="Century Gothic" w:hAnsi="Century Gothic" w:cs="Cambria"/>
          <w:shd w:val="clear" w:color="auto" w:fill="FFFFFF" w:themeFill="background1"/>
          <w:lang w:eastAsia="es-ES"/>
        </w:rPr>
        <w:t xml:space="preserve">el prestador presentará con una antelación mínima de </w:t>
      </w:r>
      <w:r>
        <w:rPr>
          <w:rFonts w:ascii="Century Gothic" w:hAnsi="Century Gothic" w:cs="Cambria"/>
          <w:color w:val="ED0000"/>
          <w:shd w:val="clear" w:color="auto" w:fill="FFFFFF" w:themeFill="background1"/>
          <w:lang w:eastAsia="es-ES"/>
        </w:rPr>
        <w:t>24</w:t>
      </w:r>
      <w:r w:rsidRPr="00A41C52">
        <w:rPr>
          <w:rFonts w:ascii="Century Gothic" w:hAnsi="Century Gothic" w:cs="Cambria"/>
          <w:color w:val="ED0000"/>
          <w:shd w:val="clear" w:color="auto" w:fill="FFFFFF" w:themeFill="background1"/>
          <w:lang w:eastAsia="es-ES"/>
        </w:rPr>
        <w:t xml:space="preserve"> </w:t>
      </w:r>
      <w:r w:rsidRPr="00536353">
        <w:rPr>
          <w:rFonts w:ascii="Century Gothic" w:hAnsi="Century Gothic" w:cs="Cambria"/>
          <w:shd w:val="clear" w:color="auto" w:fill="FFFFFF" w:themeFill="background1"/>
          <w:lang w:eastAsia="es-ES"/>
        </w:rPr>
        <w:t xml:space="preserve">horas, </w:t>
      </w:r>
      <w:r w:rsidRPr="005B6DF4">
        <w:rPr>
          <w:rFonts w:ascii="Century Gothic" w:hAnsi="Century Gothic" w:cs="Cambria"/>
          <w:b/>
          <w:bCs/>
          <w:shd w:val="clear" w:color="auto" w:fill="FFFFFF" w:themeFill="background1"/>
          <w:lang w:eastAsia="es-ES"/>
        </w:rPr>
        <w:t>a la Autoridad Portuaria</w:t>
      </w:r>
      <w:r w:rsidRPr="00A41C52">
        <w:rPr>
          <w:rFonts w:ascii="Century Gothic" w:hAnsi="Century Gothic" w:cs="Cambria"/>
          <w:shd w:val="clear" w:color="auto" w:fill="FFFFFF" w:themeFill="background1"/>
          <w:lang w:eastAsia="es-ES"/>
        </w:rPr>
        <w:t xml:space="preserve"> en calidad de ventanilla única, por </w:t>
      </w:r>
      <w:r w:rsidRPr="00A41C52">
        <w:rPr>
          <w:rFonts w:ascii="Century Gothic" w:hAnsi="Century Gothic" w:cs="Cambria"/>
          <w:color w:val="ED0000"/>
          <w:shd w:val="clear" w:color="auto" w:fill="FFFFFF" w:themeFill="background1"/>
          <w:lang w:eastAsia="es-ES"/>
        </w:rPr>
        <w:t xml:space="preserve">correo electrónico </w:t>
      </w:r>
      <w:r w:rsidR="000B73D4">
        <w:rPr>
          <w:rFonts w:ascii="Century Gothic" w:hAnsi="Century Gothic" w:cs="Cambria"/>
          <w:color w:val="ED0000"/>
          <w:shd w:val="clear" w:color="auto" w:fill="FFFFFF" w:themeFill="background1"/>
          <w:lang w:eastAsia="es-ES"/>
        </w:rPr>
        <w:t>(o a través del medio que la Autoridad Portuaria determine)</w:t>
      </w:r>
      <w:r w:rsidRPr="00A41C52">
        <w:rPr>
          <w:rFonts w:ascii="Century Gothic" w:hAnsi="Century Gothic" w:cs="Cambria"/>
          <w:shd w:val="clear" w:color="auto" w:fill="FFFFFF" w:themeFill="background1"/>
          <w:lang w:eastAsia="es-ES"/>
        </w:rPr>
        <w:t xml:space="preserve">, </w:t>
      </w:r>
      <w:r w:rsidRPr="005B6DF4">
        <w:rPr>
          <w:rFonts w:ascii="Century Gothic" w:hAnsi="Century Gothic" w:cs="Cambria"/>
          <w:b/>
          <w:bCs/>
          <w:shd w:val="clear" w:color="auto" w:fill="FFFFFF" w:themeFill="background1"/>
          <w:lang w:eastAsia="es-ES"/>
        </w:rPr>
        <w:t>con copia a la Capitanía Marítima</w:t>
      </w:r>
      <w:r w:rsidRPr="00A41C52">
        <w:rPr>
          <w:rFonts w:ascii="Century Gothic" w:hAnsi="Century Gothic" w:cs="Cambria"/>
          <w:shd w:val="clear" w:color="auto" w:fill="FFFFFF" w:themeFill="background1"/>
          <w:lang w:eastAsia="es-ES"/>
        </w:rPr>
        <w:t xml:space="preserve">, a </w:t>
      </w:r>
      <w:r w:rsidRPr="00A41C52">
        <w:rPr>
          <w:rFonts w:ascii="Century Gothic" w:hAnsi="Century Gothic" w:cs="Cambria"/>
          <w:color w:val="ED0000"/>
          <w:shd w:val="clear" w:color="auto" w:fill="FFFFFF" w:themeFill="background1"/>
          <w:lang w:eastAsia="es-ES"/>
        </w:rPr>
        <w:t xml:space="preserve">la dirección de correo electrónico </w:t>
      </w:r>
      <w:r>
        <w:rPr>
          <w:rFonts w:ascii="Century Gothic" w:hAnsi="Century Gothic" w:cs="Cambria"/>
          <w:color w:val="ED0000"/>
          <w:shd w:val="clear" w:color="auto" w:fill="FFFFFF" w:themeFill="background1"/>
          <w:lang w:eastAsia="es-ES"/>
        </w:rPr>
        <w:t>XXX</w:t>
      </w:r>
      <w:r w:rsidR="000B73D4">
        <w:rPr>
          <w:rFonts w:ascii="Century Gothic" w:hAnsi="Century Gothic" w:cs="Cambria"/>
          <w:color w:val="ED0000"/>
          <w:shd w:val="clear" w:color="auto" w:fill="FFFFFF" w:themeFill="background1"/>
          <w:lang w:eastAsia="es-ES"/>
        </w:rPr>
        <w:t xml:space="preserve"> (o a través del medio que la Capitanía Marítima determine)</w:t>
      </w:r>
      <w:r w:rsidRPr="00A41C52">
        <w:rPr>
          <w:rFonts w:ascii="Century Gothic" w:hAnsi="Century Gothic" w:cs="Cambria"/>
          <w:shd w:val="clear" w:color="auto" w:fill="FFFFFF" w:themeFill="background1"/>
          <w:lang w:eastAsia="es-ES"/>
        </w:rPr>
        <w:t>, la información que a continuación se detalla</w:t>
      </w:r>
      <w:r w:rsidRPr="00A41C52">
        <w:rPr>
          <w:rFonts w:ascii="Century Gothic" w:hAnsi="Century Gothic" w:cs="Cambria"/>
          <w:lang w:eastAsia="es-ES"/>
        </w:rPr>
        <w:t>:</w:t>
      </w:r>
    </w:p>
    <w:p w14:paraId="6726FBC8" w14:textId="77777777" w:rsidR="00D91439" w:rsidRPr="00A41C52" w:rsidRDefault="00D91439" w:rsidP="00056982">
      <w:pPr>
        <w:autoSpaceDE w:val="0"/>
        <w:autoSpaceDN w:val="0"/>
        <w:adjustRightInd w:val="0"/>
        <w:spacing w:after="240" w:line="288" w:lineRule="auto"/>
        <w:jc w:val="both"/>
        <w:rPr>
          <w:rFonts w:ascii="Century Gothic" w:hAnsi="Century Gothic" w:cs="Cambria"/>
          <w:lang w:eastAsia="es-ES"/>
        </w:rPr>
      </w:pPr>
    </w:p>
    <w:p w14:paraId="5D960B29" w14:textId="2D96484F" w:rsidR="00D91439" w:rsidRPr="00A90C17"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b/>
          <w:bCs/>
          <w:lang w:eastAsia="es-ES"/>
        </w:rPr>
      </w:pPr>
      <w:r w:rsidRPr="00A41C52">
        <w:rPr>
          <w:rFonts w:ascii="Century Gothic" w:hAnsi="Century Gothic" w:cs="Cambria"/>
          <w:lang w:eastAsia="es-ES"/>
        </w:rPr>
        <w:t xml:space="preserve">Identificación del buque </w:t>
      </w:r>
      <w:r w:rsidRPr="00A41C52">
        <w:rPr>
          <w:rFonts w:ascii="Century Gothic" w:hAnsi="Century Gothic" w:cs="Cambria"/>
          <w:b/>
          <w:bCs/>
          <w:lang w:eastAsia="es-ES"/>
        </w:rPr>
        <w:t>suministrador autorizado</w:t>
      </w:r>
      <w:r w:rsidRPr="00A41C52">
        <w:rPr>
          <w:rFonts w:ascii="Century Gothic" w:hAnsi="Century Gothic" w:cs="Cambria"/>
          <w:lang w:eastAsia="es-ES"/>
        </w:rPr>
        <w:t xml:space="preserve"> y el </w:t>
      </w:r>
      <w:r w:rsidRPr="00A90C17">
        <w:rPr>
          <w:rFonts w:ascii="Century Gothic" w:hAnsi="Century Gothic" w:cs="Cambria"/>
          <w:b/>
          <w:bCs/>
          <w:lang w:eastAsia="es-ES"/>
        </w:rPr>
        <w:t>buque receptor.</w:t>
      </w:r>
    </w:p>
    <w:p w14:paraId="60370620" w14:textId="6FFA60E5" w:rsidR="00D91439" w:rsidRPr="00A41C52" w:rsidRDefault="00D91439" w:rsidP="006965D8">
      <w:pPr>
        <w:pStyle w:val="Prrafodelista"/>
        <w:numPr>
          <w:ilvl w:val="1"/>
          <w:numId w:val="36"/>
        </w:numPr>
        <w:autoSpaceDE w:val="0"/>
        <w:autoSpaceDN w:val="0"/>
        <w:adjustRightInd w:val="0"/>
        <w:spacing w:after="0" w:line="288" w:lineRule="auto"/>
        <w:jc w:val="both"/>
        <w:rPr>
          <w:rFonts w:ascii="Century Gothic" w:hAnsi="Century Gothic" w:cs="Cambria"/>
          <w:b/>
          <w:bCs/>
          <w:lang w:eastAsia="es-ES"/>
        </w:rPr>
      </w:pPr>
      <w:r w:rsidRPr="00A41C52">
        <w:rPr>
          <w:rFonts w:ascii="Century Gothic" w:hAnsi="Century Gothic" w:cs="Cambria"/>
          <w:lang w:eastAsia="es-ES"/>
        </w:rPr>
        <w:t xml:space="preserve">Identificación y medios para contactar con el </w:t>
      </w:r>
      <w:r w:rsidRPr="00A41C52">
        <w:rPr>
          <w:rFonts w:ascii="Century Gothic" w:hAnsi="Century Gothic" w:cs="Cambria"/>
          <w:b/>
          <w:bCs/>
          <w:lang w:eastAsia="es-ES"/>
        </w:rPr>
        <w:t xml:space="preserve">DPA de la compañía ISM del buque receptor. </w:t>
      </w:r>
    </w:p>
    <w:p w14:paraId="3821C1C9" w14:textId="77777777" w:rsidR="00D91439"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lang w:eastAsia="es-ES"/>
        </w:rPr>
      </w:pPr>
      <w:r w:rsidRPr="00A41C52">
        <w:rPr>
          <w:rFonts w:ascii="Century Gothic" w:hAnsi="Century Gothic" w:cs="Cambria"/>
          <w:b/>
          <w:bCs/>
          <w:lang w:eastAsia="es-ES"/>
        </w:rPr>
        <w:t>Identificación del muelle</w:t>
      </w:r>
      <w:r>
        <w:rPr>
          <w:rFonts w:ascii="Century Gothic" w:hAnsi="Century Gothic" w:cs="Cambria"/>
          <w:lang w:eastAsia="es-ES"/>
        </w:rPr>
        <w:t>,</w:t>
      </w:r>
      <w:r w:rsidRPr="00A41C52">
        <w:rPr>
          <w:rFonts w:ascii="Century Gothic" w:hAnsi="Century Gothic" w:cs="Cambria"/>
          <w:lang w:eastAsia="es-ES"/>
        </w:rPr>
        <w:t xml:space="preserve"> terminal </w:t>
      </w:r>
      <w:r>
        <w:rPr>
          <w:rFonts w:ascii="Century Gothic" w:hAnsi="Century Gothic" w:cs="Cambria"/>
          <w:lang w:eastAsia="es-ES"/>
        </w:rPr>
        <w:t xml:space="preserve">o fondeadero </w:t>
      </w:r>
      <w:r w:rsidRPr="00A41C52">
        <w:rPr>
          <w:rFonts w:ascii="Century Gothic" w:hAnsi="Century Gothic" w:cs="Cambria"/>
          <w:lang w:eastAsia="es-ES"/>
        </w:rPr>
        <w:t>del puerto donde se llevará a cabo el suministro.</w:t>
      </w:r>
    </w:p>
    <w:p w14:paraId="105A7ED8" w14:textId="1A8BE870" w:rsidR="00646FE9" w:rsidRPr="007D7857"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lang w:eastAsia="es-ES"/>
        </w:rPr>
      </w:pPr>
      <w:r w:rsidRPr="00A41C52">
        <w:rPr>
          <w:rFonts w:ascii="Century Gothic" w:hAnsi="Century Gothic" w:cs="Cambria"/>
          <w:shd w:val="clear" w:color="auto" w:fill="FFFFFF" w:themeFill="background1"/>
          <w:lang w:eastAsia="es-ES"/>
        </w:rPr>
        <w:t>El</w:t>
      </w:r>
      <w:r w:rsidRPr="00A41C52">
        <w:rPr>
          <w:rFonts w:ascii="Century Gothic" w:hAnsi="Century Gothic" w:cs="Cambria"/>
          <w:b/>
          <w:bCs/>
          <w:shd w:val="clear" w:color="auto" w:fill="FFFFFF" w:themeFill="background1"/>
          <w:lang w:eastAsia="es-ES"/>
        </w:rPr>
        <w:t xml:space="preserve"> Joint Plan of Bunker Operations</w:t>
      </w:r>
      <w:r w:rsidR="007D7857">
        <w:rPr>
          <w:rFonts w:ascii="Century Gothic" w:hAnsi="Century Gothic" w:cs="Cambria"/>
          <w:b/>
          <w:bCs/>
          <w:shd w:val="clear" w:color="auto" w:fill="FFFFFF" w:themeFill="background1"/>
          <w:lang w:eastAsia="es-ES"/>
        </w:rPr>
        <w:t xml:space="preserve"> (JPBO)</w:t>
      </w:r>
      <w:r w:rsidRPr="00A41C52">
        <w:rPr>
          <w:rFonts w:ascii="Century Gothic" w:hAnsi="Century Gothic" w:cs="Cambria"/>
          <w:shd w:val="clear" w:color="auto" w:fill="FFFFFF" w:themeFill="background1"/>
          <w:lang w:eastAsia="es-ES"/>
        </w:rPr>
        <w:t xml:space="preserve"> firmado por sendos capitanes, del buque suministrador y del buque</w:t>
      </w:r>
      <w:r w:rsidRPr="00A41C52">
        <w:rPr>
          <w:rFonts w:ascii="Century Gothic" w:hAnsi="Century Gothic" w:cs="Cambria"/>
          <w:lang w:eastAsia="es-ES"/>
        </w:rPr>
        <w:t xml:space="preserve"> receptor</w:t>
      </w:r>
      <w:r w:rsidR="005C64A1">
        <w:rPr>
          <w:rFonts w:ascii="Century Gothic" w:hAnsi="Century Gothic" w:cs="Cambria"/>
          <w:lang w:eastAsia="es-ES"/>
        </w:rPr>
        <w:t>, con mención expresa a las posibles SIMOPS</w:t>
      </w:r>
      <w:r w:rsidRPr="00A41C52">
        <w:rPr>
          <w:rFonts w:ascii="Century Gothic" w:hAnsi="Century Gothic" w:cs="Cambria"/>
          <w:lang w:eastAsia="es-ES"/>
        </w:rPr>
        <w:t>. En caso de suministro en una terminal, el JPBO deberá presentarse firmado en conformidad por el representante de la terminal.</w:t>
      </w:r>
      <w:r w:rsidR="00646FE9">
        <w:rPr>
          <w:rFonts w:ascii="Century Gothic" w:hAnsi="Century Gothic" w:cs="Cambria"/>
          <w:lang w:eastAsia="es-ES"/>
        </w:rPr>
        <w:t xml:space="preserve"> </w:t>
      </w:r>
      <w:r w:rsidR="0074316A" w:rsidRPr="0074316A">
        <w:rPr>
          <w:rFonts w:ascii="Century Gothic" w:hAnsi="Century Gothic"/>
          <w:color w:val="000000" w:themeColor="text1"/>
          <w:spacing w:val="-2"/>
        </w:rPr>
        <w:t xml:space="preserve"> </w:t>
      </w:r>
      <w:r w:rsidR="0074316A" w:rsidRPr="007D7857">
        <w:rPr>
          <w:rFonts w:ascii="Century Gothic" w:hAnsi="Century Gothic" w:cs="Cambria"/>
          <w:lang w:eastAsia="es-ES"/>
        </w:rPr>
        <w:t xml:space="preserve">El JPBO podrá </w:t>
      </w:r>
      <w:r w:rsidR="00A71E01">
        <w:rPr>
          <w:rFonts w:ascii="Century Gothic" w:hAnsi="Century Gothic" w:cs="Cambria"/>
          <w:lang w:eastAsia="es-ES"/>
        </w:rPr>
        <w:t>cubrir</w:t>
      </w:r>
      <w:r w:rsidR="0074316A" w:rsidRPr="007D7857">
        <w:rPr>
          <w:rFonts w:ascii="Century Gothic" w:hAnsi="Century Gothic" w:cs="Cambria"/>
          <w:lang w:eastAsia="es-ES"/>
        </w:rPr>
        <w:t xml:space="preserve"> toda la información recogida en la presente lista de documentación</w:t>
      </w:r>
      <w:r w:rsidR="005F7EB2" w:rsidRPr="007D7857">
        <w:rPr>
          <w:rFonts w:ascii="Century Gothic" w:hAnsi="Century Gothic" w:cs="Cambria"/>
          <w:lang w:eastAsia="es-ES"/>
        </w:rPr>
        <w:t xml:space="preserve"> y en </w:t>
      </w:r>
      <w:r w:rsidR="0059485A" w:rsidRPr="007D7857">
        <w:rPr>
          <w:rFonts w:ascii="Century Gothic" w:hAnsi="Century Gothic" w:cs="Cambria"/>
          <w:lang w:eastAsia="es-ES"/>
        </w:rPr>
        <w:t>el correspondiente bunker</w:t>
      </w:r>
      <w:r w:rsidR="005F7EB2" w:rsidRPr="007D7857">
        <w:rPr>
          <w:rFonts w:ascii="Century Gothic" w:hAnsi="Century Gothic" w:cs="Cambria"/>
          <w:lang w:eastAsia="es-ES"/>
        </w:rPr>
        <w:t xml:space="preserve"> checklist de IAPH</w:t>
      </w:r>
      <w:r w:rsidR="007D7857" w:rsidRPr="007D7857">
        <w:rPr>
          <w:rFonts w:ascii="Century Gothic" w:hAnsi="Century Gothic" w:cs="Cambria"/>
          <w:lang w:eastAsia="es-ES"/>
        </w:rPr>
        <w:t>.</w:t>
      </w:r>
    </w:p>
    <w:p w14:paraId="4F0EA725" w14:textId="7DE9A25E" w:rsidR="00D91439" w:rsidRPr="00A41C52"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lang w:eastAsia="es-ES"/>
        </w:rPr>
      </w:pPr>
      <w:r w:rsidRPr="00A41C52">
        <w:rPr>
          <w:rFonts w:ascii="Century Gothic" w:hAnsi="Century Gothic" w:cs="Arial"/>
          <w:b/>
          <w:bCs/>
          <w:spacing w:val="-2"/>
        </w:rPr>
        <w:t>Plan de abarloamiento/estudio de amarre</w:t>
      </w:r>
      <w:r w:rsidRPr="00A41C52">
        <w:rPr>
          <w:rFonts w:ascii="Century Gothic" w:hAnsi="Century Gothic" w:cs="Arial"/>
          <w:spacing w:val="-2"/>
        </w:rPr>
        <w:t xml:space="preserve"> que analice cuantitativamente la maniobra de abarloamiento con el buque receptor e incluya las condiciones límites de mar </w:t>
      </w:r>
      <w:r w:rsidR="00F36A1E" w:rsidRPr="00A41C52">
        <w:rPr>
          <w:rFonts w:ascii="Century Gothic" w:hAnsi="Century Gothic" w:cs="Arial"/>
          <w:spacing w:val="-2"/>
        </w:rPr>
        <w:t>y meteorológicas</w:t>
      </w:r>
      <w:r w:rsidRPr="00A41C52">
        <w:rPr>
          <w:rFonts w:ascii="Century Gothic" w:hAnsi="Century Gothic" w:cs="Arial"/>
          <w:spacing w:val="-2"/>
        </w:rPr>
        <w:t>.</w:t>
      </w:r>
    </w:p>
    <w:p w14:paraId="27B035EB" w14:textId="65F2A586" w:rsidR="00D91439" w:rsidRPr="0059485A"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lang w:eastAsia="es-ES"/>
        </w:rPr>
      </w:pPr>
      <w:r w:rsidRPr="00A276C3">
        <w:rPr>
          <w:rFonts w:ascii="Century Gothic" w:hAnsi="Century Gothic" w:cs="Arial"/>
          <w:spacing w:val="-2"/>
        </w:rPr>
        <w:t xml:space="preserve"> </w:t>
      </w:r>
      <w:r w:rsidRPr="00A276C3">
        <w:rPr>
          <w:rFonts w:ascii="Century Gothic" w:hAnsi="Century Gothic" w:cs="Arial"/>
          <w:b/>
          <w:bCs/>
          <w:spacing w:val="-2"/>
        </w:rPr>
        <w:t xml:space="preserve">Análisis de balance de la Gestión del vapor de </w:t>
      </w:r>
      <w:r w:rsidRPr="00A276C3">
        <w:rPr>
          <w:rFonts w:ascii="Century Gothic" w:hAnsi="Century Gothic" w:cs="Arial"/>
          <w:b/>
          <w:bCs/>
          <w:i/>
          <w:iCs/>
          <w:spacing w:val="-2"/>
        </w:rPr>
        <w:t xml:space="preserve">Boil-off </w:t>
      </w:r>
      <w:r w:rsidRPr="00A276C3">
        <w:rPr>
          <w:rFonts w:ascii="Century Gothic" w:hAnsi="Century Gothic" w:cs="Arial"/>
          <w:spacing w:val="-2"/>
        </w:rPr>
        <w:t xml:space="preserve">que elimine el riesgo de </w:t>
      </w:r>
      <w:r w:rsidRPr="0059485A">
        <w:rPr>
          <w:rFonts w:ascii="Century Gothic" w:hAnsi="Century Gothic" w:cs="Arial"/>
          <w:spacing w:val="-2"/>
        </w:rPr>
        <w:t>emisiones accidentales durante todas las fases de suministro en puerto.</w:t>
      </w:r>
    </w:p>
    <w:p w14:paraId="65E86B93" w14:textId="6C03EC0E" w:rsidR="00D91439" w:rsidRPr="0059485A" w:rsidRDefault="0059485A" w:rsidP="006965D8">
      <w:pPr>
        <w:pStyle w:val="Prrafodelista"/>
        <w:numPr>
          <w:ilvl w:val="1"/>
          <w:numId w:val="36"/>
        </w:numPr>
        <w:autoSpaceDE w:val="0"/>
        <w:autoSpaceDN w:val="0"/>
        <w:adjustRightInd w:val="0"/>
        <w:spacing w:after="240" w:line="288" w:lineRule="auto"/>
        <w:jc w:val="both"/>
        <w:rPr>
          <w:rFonts w:ascii="Century Gothic" w:hAnsi="Century Gothic" w:cs="Cambria"/>
          <w:lang w:eastAsia="es-ES"/>
        </w:rPr>
      </w:pPr>
      <w:r w:rsidRPr="0059485A">
        <w:rPr>
          <w:rFonts w:ascii="Century Gothic" w:hAnsi="Century Gothic" w:cs="Arial"/>
          <w:spacing w:val="-2"/>
        </w:rPr>
        <w:t>Compromiso de la</w:t>
      </w:r>
      <w:r w:rsidR="00D91439" w:rsidRPr="0059485A">
        <w:rPr>
          <w:rFonts w:ascii="Century Gothic" w:hAnsi="Century Gothic" w:cs="Arial"/>
          <w:spacing w:val="-2"/>
        </w:rPr>
        <w:t xml:space="preserve"> terminal </w:t>
      </w:r>
      <w:r>
        <w:rPr>
          <w:rFonts w:ascii="Century Gothic" w:hAnsi="Century Gothic" w:cs="Arial"/>
          <w:spacing w:val="-2"/>
        </w:rPr>
        <w:t xml:space="preserve">de </w:t>
      </w:r>
      <w:r w:rsidR="00D91439" w:rsidRPr="0059485A">
        <w:rPr>
          <w:rFonts w:ascii="Century Gothic" w:hAnsi="Century Gothic" w:cs="Arial"/>
          <w:spacing w:val="-2"/>
        </w:rPr>
        <w:t xml:space="preserve">imponer las limitaciones en muelle relativas a los </w:t>
      </w:r>
      <w:r w:rsidR="00D91439" w:rsidRPr="0059485A">
        <w:rPr>
          <w:rFonts w:ascii="Century Gothic" w:hAnsi="Century Gothic" w:cs="Arial"/>
          <w:b/>
          <w:bCs/>
          <w:spacing w:val="-2"/>
        </w:rPr>
        <w:t>SIMOPS</w:t>
      </w:r>
      <w:r w:rsidR="00D91439" w:rsidRPr="0059485A">
        <w:rPr>
          <w:rFonts w:ascii="Century Gothic" w:hAnsi="Century Gothic" w:cs="Arial"/>
          <w:spacing w:val="-2"/>
        </w:rPr>
        <w:t xml:space="preserve"> que se acuerden en el </w:t>
      </w:r>
      <w:r w:rsidR="00D91439" w:rsidRPr="0059485A">
        <w:rPr>
          <w:rFonts w:ascii="Century Gothic" w:hAnsi="Century Gothic" w:cs="Arial"/>
          <w:b/>
          <w:bCs/>
          <w:spacing w:val="-2"/>
        </w:rPr>
        <w:t xml:space="preserve">Joint Plan of Bunker Operations. </w:t>
      </w:r>
    </w:p>
    <w:p w14:paraId="1779EFF8" w14:textId="596BFA82" w:rsidR="00D91439" w:rsidRPr="003C4400" w:rsidRDefault="00D91439" w:rsidP="006965D8">
      <w:pPr>
        <w:pStyle w:val="Prrafodelista"/>
        <w:numPr>
          <w:ilvl w:val="1"/>
          <w:numId w:val="36"/>
        </w:numPr>
        <w:autoSpaceDE w:val="0"/>
        <w:autoSpaceDN w:val="0"/>
        <w:adjustRightInd w:val="0"/>
        <w:spacing w:after="0" w:line="288" w:lineRule="auto"/>
        <w:jc w:val="both"/>
        <w:rPr>
          <w:rFonts w:ascii="Century Gothic" w:hAnsi="Century Gothic" w:cs="Cambria"/>
          <w:color w:val="FF0000"/>
          <w:lang w:eastAsia="es-ES"/>
        </w:rPr>
      </w:pPr>
      <w:r w:rsidRPr="00A276C3">
        <w:rPr>
          <w:rFonts w:ascii="Century Gothic" w:hAnsi="Century Gothic" w:cs="Cambria"/>
          <w:lang w:eastAsia="es-ES"/>
        </w:rPr>
        <w:t xml:space="preserve">Identificación y </w:t>
      </w:r>
      <w:r w:rsidRPr="0059485A">
        <w:rPr>
          <w:rFonts w:ascii="Century Gothic" w:hAnsi="Century Gothic" w:cs="Cambria"/>
          <w:b/>
          <w:bCs/>
          <w:lang w:eastAsia="es-ES"/>
        </w:rPr>
        <w:t xml:space="preserve">medios </w:t>
      </w:r>
      <w:r w:rsidRPr="0059485A">
        <w:rPr>
          <w:rFonts w:ascii="Century Gothic" w:hAnsi="Century Gothic" w:cs="Cambria"/>
          <w:lang w:eastAsia="es-ES"/>
        </w:rPr>
        <w:t xml:space="preserve">para contactar </w:t>
      </w:r>
      <w:r w:rsidR="003C4400" w:rsidRPr="003C4400">
        <w:rPr>
          <w:rFonts w:ascii="Century Gothic" w:hAnsi="Century Gothic" w:cs="Cambria"/>
          <w:color w:val="FF0000"/>
          <w:lang w:eastAsia="es-ES"/>
        </w:rPr>
        <w:t>(</w:t>
      </w:r>
      <w:r w:rsidR="003C4400">
        <w:rPr>
          <w:rFonts w:ascii="Century Gothic" w:hAnsi="Century Gothic" w:cs="Cambria"/>
          <w:color w:val="FF0000"/>
          <w:lang w:eastAsia="es-ES"/>
        </w:rPr>
        <w:t xml:space="preserve">particularizar por la Autoridad Portuaria, en su caso, </w:t>
      </w:r>
      <w:r w:rsidR="00981A0D">
        <w:rPr>
          <w:rFonts w:ascii="Century Gothic" w:hAnsi="Century Gothic" w:cs="Cambria"/>
          <w:color w:val="FF0000"/>
          <w:lang w:eastAsia="es-ES"/>
        </w:rPr>
        <w:t>incluyendo</w:t>
      </w:r>
      <w:r w:rsidRPr="003C4400">
        <w:rPr>
          <w:rFonts w:ascii="Century Gothic" w:hAnsi="Century Gothic" w:cs="Cambria"/>
          <w:color w:val="FF0000"/>
          <w:lang w:eastAsia="es-ES"/>
        </w:rPr>
        <w:t xml:space="preserve"> </w:t>
      </w:r>
      <w:r w:rsidR="001E3F23">
        <w:rPr>
          <w:rFonts w:ascii="Century Gothic" w:hAnsi="Century Gothic" w:cs="Cambria"/>
          <w:color w:val="FF0000"/>
          <w:lang w:eastAsia="es-ES"/>
        </w:rPr>
        <w:t xml:space="preserve">los contactos de los </w:t>
      </w:r>
      <w:r w:rsidRPr="003C4400">
        <w:rPr>
          <w:rFonts w:ascii="Century Gothic" w:hAnsi="Century Gothic" w:cs="Cambria"/>
          <w:color w:val="FF0000"/>
          <w:lang w:eastAsia="es-ES"/>
        </w:rPr>
        <w:t>COS, ROS</w:t>
      </w:r>
      <w:r w:rsidR="003C4400">
        <w:rPr>
          <w:rFonts w:ascii="Century Gothic" w:hAnsi="Century Gothic" w:cs="Cambria"/>
          <w:color w:val="FF0000"/>
          <w:lang w:eastAsia="es-ES"/>
        </w:rPr>
        <w:t>,</w:t>
      </w:r>
      <w:r w:rsidRPr="003C4400">
        <w:rPr>
          <w:rFonts w:ascii="Century Gothic" w:hAnsi="Century Gothic" w:cs="Cambria"/>
          <w:color w:val="FF0000"/>
          <w:lang w:eastAsia="es-ES"/>
        </w:rPr>
        <w:t xml:space="preserve"> </w:t>
      </w:r>
      <w:r w:rsidR="001E3F23">
        <w:rPr>
          <w:rFonts w:ascii="Century Gothic" w:hAnsi="Century Gothic" w:cs="Cambria"/>
          <w:color w:val="FF0000"/>
          <w:lang w:eastAsia="es-ES"/>
        </w:rPr>
        <w:t xml:space="preserve">PIC -person in charge- o </w:t>
      </w:r>
      <w:r w:rsidRPr="003C4400">
        <w:rPr>
          <w:rFonts w:ascii="Century Gothic" w:hAnsi="Century Gothic" w:cs="Cambria"/>
          <w:color w:val="FF0000"/>
          <w:lang w:eastAsia="es-ES"/>
        </w:rPr>
        <w:t>capitán del buque receptor</w:t>
      </w:r>
      <w:r w:rsidR="003C4400">
        <w:rPr>
          <w:rFonts w:ascii="Century Gothic" w:hAnsi="Century Gothic" w:cs="Cambria"/>
          <w:color w:val="FF0000"/>
          <w:lang w:eastAsia="es-ES"/>
        </w:rPr>
        <w:t>)</w:t>
      </w:r>
      <w:r w:rsidRPr="003C4400">
        <w:rPr>
          <w:rFonts w:ascii="Century Gothic" w:hAnsi="Century Gothic" w:cs="Cambria"/>
          <w:color w:val="FF0000"/>
          <w:lang w:eastAsia="es-ES"/>
        </w:rPr>
        <w:t>.</w:t>
      </w:r>
    </w:p>
    <w:p w14:paraId="29AD9229" w14:textId="75D69728" w:rsidR="00D91439" w:rsidRPr="00A276C3" w:rsidRDefault="00D91439" w:rsidP="006965D8">
      <w:pPr>
        <w:pStyle w:val="Prrafodelista"/>
        <w:numPr>
          <w:ilvl w:val="1"/>
          <w:numId w:val="36"/>
        </w:numPr>
        <w:autoSpaceDE w:val="0"/>
        <w:autoSpaceDN w:val="0"/>
        <w:adjustRightInd w:val="0"/>
        <w:spacing w:after="240" w:line="288" w:lineRule="auto"/>
        <w:jc w:val="both"/>
        <w:rPr>
          <w:rStyle w:val="Fuerte"/>
          <w:rFonts w:ascii="Century Gothic" w:hAnsi="Century Gothic" w:cs="Cambria"/>
          <w:lang w:eastAsia="es-ES"/>
        </w:rPr>
      </w:pPr>
      <w:r w:rsidRPr="00A276C3">
        <w:rPr>
          <w:rFonts w:ascii="Century Gothic" w:hAnsi="Century Gothic" w:cs="Cambria"/>
          <w:lang w:eastAsia="es-ES"/>
        </w:rPr>
        <w:t xml:space="preserve">Toneladas de combustible de GNL a suministrar; </w:t>
      </w:r>
      <w:r w:rsidRPr="00A276C3">
        <w:rPr>
          <w:rFonts w:ascii="Century Gothic" w:hAnsi="Century Gothic" w:cs="Cambria"/>
          <w:b/>
          <w:bCs/>
          <w:lang w:eastAsia="es-ES"/>
        </w:rPr>
        <w:t>fecha</w:t>
      </w:r>
      <w:r w:rsidRPr="00A276C3">
        <w:rPr>
          <w:rStyle w:val="Fuerte"/>
          <w:rFonts w:ascii="Century Gothic" w:hAnsi="Century Gothic" w:cs="Courier New"/>
        </w:rPr>
        <w:t xml:space="preserve"> y hora estimada de inicio y fin del suministro.</w:t>
      </w:r>
    </w:p>
    <w:p w14:paraId="1941E321" w14:textId="5D8A2A83" w:rsidR="00D91439" w:rsidRPr="00D63ED9"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color w:val="EE0000"/>
          <w:lang w:eastAsia="es-ES"/>
        </w:rPr>
      </w:pPr>
      <w:r w:rsidRPr="00A276C3">
        <w:rPr>
          <w:rFonts w:ascii="Century Gothic" w:hAnsi="Century Gothic" w:cs="Cambria"/>
          <w:b/>
          <w:bCs/>
          <w:lang w:eastAsia="es-ES"/>
        </w:rPr>
        <w:t xml:space="preserve">Plano </w:t>
      </w:r>
      <w:r w:rsidR="00100545">
        <w:rPr>
          <w:rFonts w:ascii="Century Gothic" w:hAnsi="Century Gothic" w:cs="Cambria"/>
          <w:b/>
          <w:bCs/>
          <w:lang w:eastAsia="es-ES"/>
        </w:rPr>
        <w:t xml:space="preserve">esquemático </w:t>
      </w:r>
      <w:r w:rsidRPr="00A276C3">
        <w:rPr>
          <w:rFonts w:ascii="Century Gothic" w:hAnsi="Century Gothic" w:cs="Cambria"/>
          <w:b/>
          <w:bCs/>
          <w:lang w:eastAsia="es-ES"/>
        </w:rPr>
        <w:t>de ubicación</w:t>
      </w:r>
      <w:r w:rsidRPr="00A276C3">
        <w:rPr>
          <w:rFonts w:ascii="Century Gothic" w:hAnsi="Century Gothic" w:cs="Cambria"/>
          <w:lang w:eastAsia="es-ES"/>
        </w:rPr>
        <w:t xml:space="preserve"> de los equipos de suministro y del buque receptor. </w:t>
      </w:r>
      <w:r w:rsidR="000A1778" w:rsidRPr="000A1778">
        <w:rPr>
          <w:rFonts w:ascii="Century Gothic" w:hAnsi="Century Gothic" w:cs="Cambria"/>
          <w:color w:val="FF0000"/>
          <w:lang w:eastAsia="es-ES"/>
        </w:rPr>
        <w:t>(</w:t>
      </w:r>
      <w:r w:rsidR="007B2CF6">
        <w:rPr>
          <w:rFonts w:ascii="Century Gothic" w:hAnsi="Century Gothic" w:cs="Cambria"/>
          <w:color w:val="FF0000"/>
          <w:lang w:eastAsia="es-ES"/>
        </w:rPr>
        <w:t>Elementos a incluir en el plano</w:t>
      </w:r>
      <w:r w:rsidR="000A1778">
        <w:rPr>
          <w:rFonts w:ascii="Century Gothic" w:hAnsi="Century Gothic" w:cs="Cambria"/>
          <w:color w:val="FF0000"/>
          <w:lang w:eastAsia="es-ES"/>
        </w:rPr>
        <w:t xml:space="preserve"> </w:t>
      </w:r>
      <w:r w:rsidR="007B2CF6">
        <w:rPr>
          <w:rFonts w:ascii="Century Gothic" w:hAnsi="Century Gothic" w:cs="Cambria"/>
          <w:color w:val="FF0000"/>
          <w:lang w:eastAsia="es-ES"/>
        </w:rPr>
        <w:t>a</w:t>
      </w:r>
      <w:r w:rsidR="000A1778">
        <w:rPr>
          <w:rFonts w:ascii="Century Gothic" w:hAnsi="Century Gothic" w:cs="Cambria"/>
          <w:color w:val="FF0000"/>
          <w:lang w:eastAsia="es-ES"/>
        </w:rPr>
        <w:t xml:space="preserve"> </w:t>
      </w:r>
      <w:r w:rsidR="007B2CF6">
        <w:rPr>
          <w:rFonts w:ascii="Century Gothic" w:hAnsi="Century Gothic" w:cs="Cambria"/>
          <w:color w:val="FF0000"/>
          <w:lang w:eastAsia="es-ES"/>
        </w:rPr>
        <w:t>particularizar</w:t>
      </w:r>
      <w:r w:rsidR="000A1778">
        <w:rPr>
          <w:rFonts w:ascii="Century Gothic" w:hAnsi="Century Gothic" w:cs="Cambria"/>
          <w:color w:val="FF0000"/>
          <w:lang w:eastAsia="es-ES"/>
        </w:rPr>
        <w:t xml:space="preserve"> por la Autoridad Portuaria</w:t>
      </w:r>
      <w:r w:rsidR="007B2CF6">
        <w:rPr>
          <w:rFonts w:ascii="Century Gothic" w:hAnsi="Century Gothic" w:cs="Cambria"/>
          <w:color w:val="FF0000"/>
          <w:lang w:eastAsia="es-ES"/>
        </w:rPr>
        <w:t xml:space="preserve">: </w:t>
      </w:r>
      <w:r w:rsidR="000A1778" w:rsidRPr="000A1778">
        <w:rPr>
          <w:rFonts w:ascii="Century Gothic" w:hAnsi="Century Gothic" w:cs="Cambria"/>
          <w:color w:val="EE0000"/>
          <w:lang w:eastAsia="es-ES"/>
        </w:rPr>
        <w:t xml:space="preserve"> distancias de seguridad</w:t>
      </w:r>
      <w:r w:rsidR="007B2CF6">
        <w:rPr>
          <w:rFonts w:ascii="Century Gothic" w:hAnsi="Century Gothic" w:cs="Cambria"/>
          <w:color w:val="EE0000"/>
          <w:lang w:eastAsia="es-ES"/>
        </w:rPr>
        <w:t>,</w:t>
      </w:r>
      <w:r w:rsidR="000A1778" w:rsidRPr="000A1778">
        <w:rPr>
          <w:rFonts w:ascii="Century Gothic" w:hAnsi="Century Gothic" w:cs="Cambria"/>
          <w:color w:val="EE0000"/>
          <w:lang w:eastAsia="es-ES"/>
        </w:rPr>
        <w:t xml:space="preserve"> zonas de protección contra explosiones ATEX o EX,</w:t>
      </w:r>
      <w:r w:rsidRPr="000A1778">
        <w:rPr>
          <w:rFonts w:ascii="Century Gothic" w:hAnsi="Century Gothic" w:cs="Cambria"/>
          <w:color w:val="EE0000"/>
          <w:lang w:eastAsia="es-ES"/>
        </w:rPr>
        <w:t xml:space="preserve"> elementos del muelle o terminal próximos al</w:t>
      </w:r>
      <w:r w:rsidRPr="00D63ED9">
        <w:rPr>
          <w:rFonts w:ascii="Century Gothic" w:hAnsi="Century Gothic" w:cs="Cambria"/>
          <w:color w:val="EE0000"/>
          <w:lang w:eastAsia="es-ES"/>
        </w:rPr>
        <w:t xml:space="preserve"> punto de suministro, distancias derivadas del estudio EAC</w:t>
      </w:r>
      <w:r w:rsidR="000A1778">
        <w:rPr>
          <w:rFonts w:ascii="Century Gothic" w:hAnsi="Century Gothic" w:cs="Cambria"/>
          <w:color w:val="EE0000"/>
          <w:lang w:eastAsia="es-ES"/>
        </w:rPr>
        <w:t xml:space="preserve">, </w:t>
      </w:r>
      <w:r w:rsidRPr="00D63ED9">
        <w:rPr>
          <w:rFonts w:ascii="Century Gothic" w:hAnsi="Century Gothic" w:cs="Cambria"/>
          <w:color w:val="EE0000"/>
          <w:lang w:eastAsia="es-ES"/>
        </w:rPr>
        <w:t>isolíneas de riesgo individual aceptable</w:t>
      </w:r>
      <w:r w:rsidR="007B2CF6">
        <w:rPr>
          <w:rFonts w:ascii="Century Gothic" w:hAnsi="Century Gothic" w:cs="Cambria"/>
          <w:color w:val="EE0000"/>
          <w:lang w:eastAsia="es-ES"/>
        </w:rPr>
        <w:t xml:space="preserve"> d</w:t>
      </w:r>
      <w:r w:rsidRPr="00D63ED9">
        <w:rPr>
          <w:rFonts w:ascii="Century Gothic" w:hAnsi="Century Gothic" w:cs="Cambria"/>
          <w:color w:val="EE0000"/>
          <w:lang w:eastAsia="es-ES"/>
        </w:rPr>
        <w:t>erivadas del ACR</w:t>
      </w:r>
      <w:r w:rsidR="000A1778">
        <w:rPr>
          <w:rFonts w:ascii="Century Gothic" w:hAnsi="Century Gothic" w:cs="Cambria"/>
          <w:color w:val="EE0000"/>
          <w:lang w:eastAsia="es-ES"/>
        </w:rPr>
        <w:t xml:space="preserve">, </w:t>
      </w:r>
      <w:r w:rsidRPr="00D63ED9">
        <w:rPr>
          <w:rFonts w:ascii="Century Gothic" w:hAnsi="Century Gothic" w:cs="Cambria"/>
          <w:color w:val="EE0000"/>
          <w:lang w:eastAsia="es-ES"/>
        </w:rPr>
        <w:t>zona de exclusión marítima</w:t>
      </w:r>
      <w:r w:rsidR="000A1778">
        <w:rPr>
          <w:rFonts w:ascii="Century Gothic" w:hAnsi="Century Gothic" w:cs="Cambria"/>
          <w:color w:val="EE0000"/>
          <w:lang w:eastAsia="es-ES"/>
        </w:rPr>
        <w:t xml:space="preserve">, </w:t>
      </w:r>
      <w:r w:rsidRPr="00D63ED9">
        <w:rPr>
          <w:rFonts w:ascii="Century Gothic" w:hAnsi="Century Gothic" w:cs="Cambria"/>
          <w:color w:val="EE0000"/>
          <w:lang w:eastAsia="es-ES"/>
        </w:rPr>
        <w:t>firma del técnico responsable, escala e indicación del norte</w:t>
      </w:r>
      <w:r w:rsidR="000A1778">
        <w:rPr>
          <w:rFonts w:ascii="Century Gothic" w:hAnsi="Century Gothic" w:cs="Cambria"/>
          <w:color w:val="EE0000"/>
          <w:lang w:eastAsia="es-ES"/>
        </w:rPr>
        <w:t>)</w:t>
      </w:r>
      <w:r w:rsidRPr="00D63ED9">
        <w:rPr>
          <w:rFonts w:ascii="Century Gothic" w:hAnsi="Century Gothic" w:cs="Cambria"/>
          <w:color w:val="EE0000"/>
          <w:lang w:eastAsia="es-ES"/>
        </w:rPr>
        <w:t>.</w:t>
      </w:r>
    </w:p>
    <w:p w14:paraId="0FB32F31" w14:textId="5F83BD91" w:rsidR="00D91439" w:rsidRDefault="00D91439" w:rsidP="006965D8">
      <w:pPr>
        <w:pStyle w:val="Prrafodelista"/>
        <w:numPr>
          <w:ilvl w:val="1"/>
          <w:numId w:val="36"/>
        </w:numPr>
        <w:autoSpaceDE w:val="0"/>
        <w:autoSpaceDN w:val="0"/>
        <w:adjustRightInd w:val="0"/>
        <w:spacing w:after="240" w:line="288" w:lineRule="auto"/>
        <w:jc w:val="both"/>
        <w:rPr>
          <w:rFonts w:ascii="Century Gothic" w:hAnsi="Century Gothic" w:cs="Cambria"/>
          <w:lang w:eastAsia="es-ES"/>
        </w:rPr>
      </w:pPr>
      <w:r w:rsidRPr="00646FE9">
        <w:rPr>
          <w:rFonts w:ascii="Century Gothic" w:hAnsi="Century Gothic" w:cs="Cambria"/>
          <w:b/>
          <w:bCs/>
          <w:lang w:eastAsia="es-ES"/>
        </w:rPr>
        <w:lastRenderedPageBreak/>
        <w:t>Procedimiento de comunicación en caso de emergencia</w:t>
      </w:r>
      <w:r w:rsidRPr="00A41C52">
        <w:rPr>
          <w:rFonts w:ascii="Century Gothic" w:hAnsi="Century Gothic" w:cs="Cambria"/>
          <w:lang w:eastAsia="es-ES"/>
        </w:rPr>
        <w:t xml:space="preserve"> entre el suministrador, buque receptor y terminal, en caso de que la operación se realice una zona concesionada. Se presentarán los métodos de contacto (números de teléfono, frecuencia VHF etc) y personas al cargo (COS, ROS, </w:t>
      </w:r>
      <w:r w:rsidR="00D50381">
        <w:rPr>
          <w:rFonts w:ascii="Century Gothic" w:hAnsi="Century Gothic" w:cs="Cambria"/>
          <w:lang w:eastAsia="es-ES"/>
        </w:rPr>
        <w:t xml:space="preserve">PIC, </w:t>
      </w:r>
      <w:r w:rsidRPr="00A41C52">
        <w:rPr>
          <w:rFonts w:ascii="Century Gothic" w:hAnsi="Century Gothic" w:cs="Cambria"/>
          <w:lang w:eastAsia="es-ES"/>
        </w:rPr>
        <w:t xml:space="preserve">Capitán u oficial designado). El Coordinador de la operación de suministro, que debe estar familiarizado con el muelle o la terminal y con las operaciones que allí se realizan, puede pertenecer a la terminal, en caso de zonas concesionadas, o al consignatario del buque receptor. Será el encargado de activar el plan de </w:t>
      </w:r>
      <w:r w:rsidR="00D50381">
        <w:rPr>
          <w:rFonts w:ascii="Century Gothic" w:hAnsi="Century Gothic" w:cs="Cambria"/>
          <w:lang w:eastAsia="es-ES"/>
        </w:rPr>
        <w:t>respuesta frente a emergencias o</w:t>
      </w:r>
      <w:r w:rsidR="00FE151C">
        <w:rPr>
          <w:rFonts w:ascii="Century Gothic" w:hAnsi="Century Gothic" w:cs="Cambria"/>
          <w:lang w:eastAsia="es-ES"/>
        </w:rPr>
        <w:t xml:space="preserve"> de</w:t>
      </w:r>
      <w:r w:rsidR="00D50381">
        <w:rPr>
          <w:rFonts w:ascii="Century Gothic" w:hAnsi="Century Gothic" w:cs="Cambria"/>
          <w:lang w:eastAsia="es-ES"/>
        </w:rPr>
        <w:t xml:space="preserve"> </w:t>
      </w:r>
      <w:r w:rsidRPr="00A41C52">
        <w:rPr>
          <w:rFonts w:ascii="Century Gothic" w:hAnsi="Century Gothic" w:cs="Cambria"/>
          <w:lang w:eastAsia="es-ES"/>
        </w:rPr>
        <w:t xml:space="preserve">autoprotección de la operación y de dar aviso para la activación de los </w:t>
      </w:r>
      <w:r w:rsidR="00FE1827">
        <w:rPr>
          <w:rFonts w:ascii="Century Gothic" w:hAnsi="Century Gothic" w:cs="Cambria"/>
          <w:lang w:eastAsia="es-ES"/>
        </w:rPr>
        <w:t xml:space="preserve">planes de autoprotección </w:t>
      </w:r>
      <w:r w:rsidRPr="00A41C52">
        <w:rPr>
          <w:rFonts w:ascii="Century Gothic" w:hAnsi="Century Gothic" w:cs="Cambria"/>
          <w:lang w:eastAsia="es-ES"/>
        </w:rPr>
        <w:t>superiores (terminal, puerto</w:t>
      </w:r>
      <w:r w:rsidR="007E3FA5">
        <w:rPr>
          <w:rFonts w:ascii="Century Gothic" w:hAnsi="Century Gothic" w:cs="Cambria"/>
          <w:lang w:eastAsia="es-ES"/>
        </w:rPr>
        <w:t>,</w:t>
      </w:r>
      <w:r w:rsidRPr="00A41C52">
        <w:rPr>
          <w:rFonts w:ascii="Century Gothic" w:hAnsi="Century Gothic" w:cs="Cambria"/>
          <w:lang w:eastAsia="es-ES"/>
        </w:rPr>
        <w:t xml:space="preserve"> etc). </w:t>
      </w:r>
    </w:p>
    <w:p w14:paraId="0EA0494A" w14:textId="77777777" w:rsidR="00FE5B21" w:rsidRDefault="00FE5B21" w:rsidP="003457E7">
      <w:pPr>
        <w:tabs>
          <w:tab w:val="left" w:pos="1613"/>
        </w:tabs>
        <w:rPr>
          <w:lang w:eastAsia="es-ES"/>
        </w:rPr>
      </w:pPr>
    </w:p>
    <w:p w14:paraId="3A170BDD" w14:textId="6AF90499" w:rsidR="00FE5B21" w:rsidRDefault="00FE5B21" w:rsidP="00FE5B21">
      <w:pPr>
        <w:pStyle w:val="Ttulo1"/>
        <w:jc w:val="both"/>
      </w:pPr>
      <w:bookmarkStart w:id="51" w:name="_Toc230677718"/>
      <w:r w:rsidRPr="00F062F1">
        <w:rPr>
          <w:rFonts w:ascii="Century Gothic" w:hAnsi="Century Gothic" w:cstheme="minorHAnsi"/>
        </w:rPr>
        <w:lastRenderedPageBreak/>
        <w:t>ANEXO I</w:t>
      </w:r>
      <w:r>
        <w:rPr>
          <w:rFonts w:ascii="Century Gothic" w:hAnsi="Century Gothic" w:cstheme="minorHAnsi"/>
        </w:rPr>
        <w:t>I</w:t>
      </w:r>
      <w:r w:rsidR="001B45CF">
        <w:rPr>
          <w:rFonts w:ascii="Century Gothic" w:hAnsi="Century Gothic" w:cstheme="minorHAnsi"/>
        </w:rPr>
        <w:t xml:space="preserve"> MODALIDAD</w:t>
      </w:r>
      <w:r w:rsidRPr="00F062F1">
        <w:rPr>
          <w:rFonts w:ascii="Century Gothic" w:hAnsi="Century Gothic" w:cstheme="minorHAnsi"/>
        </w:rPr>
        <w:t xml:space="preserve"> </w:t>
      </w:r>
      <w:r>
        <w:rPr>
          <w:rFonts w:ascii="Century Gothic" w:hAnsi="Century Gothic" w:cstheme="minorHAnsi"/>
        </w:rPr>
        <w:t>TTS</w:t>
      </w:r>
      <w:r w:rsidR="004A1E2F">
        <w:rPr>
          <w:rFonts w:ascii="Century Gothic" w:hAnsi="Century Gothic" w:cstheme="minorHAnsi"/>
        </w:rPr>
        <w:t>:</w:t>
      </w:r>
      <w:r>
        <w:rPr>
          <w:rFonts w:ascii="Century Gothic" w:hAnsi="Century Gothic" w:cstheme="minorHAnsi"/>
        </w:rPr>
        <w:t xml:space="preserve"> </w:t>
      </w:r>
      <w:r w:rsidRPr="00F062F1">
        <w:rPr>
          <w:rFonts w:ascii="Century Gothic" w:hAnsi="Century Gothic" w:cstheme="minorHAnsi"/>
        </w:rPr>
        <w:t>DOCUMENTACIÓN A PRESENTAR</w:t>
      </w:r>
      <w:bookmarkEnd w:id="51"/>
      <w:r w:rsidRPr="00F062F1">
        <w:rPr>
          <w:rFonts w:ascii="Century Gothic" w:hAnsi="Century Gothic" w:cstheme="minorHAnsi"/>
        </w:rPr>
        <w:t xml:space="preserve"> </w:t>
      </w:r>
    </w:p>
    <w:p w14:paraId="212EFDA5" w14:textId="77777777" w:rsidR="00FE5B21" w:rsidRDefault="00FE5B21" w:rsidP="00FE5B21">
      <w:pPr>
        <w:jc w:val="both"/>
        <w:rPr>
          <w:rFonts w:ascii="Century Gothic" w:hAnsi="Century Gothic" w:cs="Arial"/>
        </w:rPr>
      </w:pPr>
    </w:p>
    <w:p w14:paraId="5448D391" w14:textId="77777777" w:rsidR="006D6168" w:rsidRPr="00FA6E74" w:rsidRDefault="006D6168" w:rsidP="006965D8">
      <w:pPr>
        <w:pStyle w:val="Prrafodelista"/>
        <w:numPr>
          <w:ilvl w:val="0"/>
          <w:numId w:val="52"/>
        </w:numPr>
        <w:jc w:val="both"/>
        <w:rPr>
          <w:rFonts w:ascii="Century Gothic" w:hAnsi="Century Gothic" w:cs="Arial"/>
          <w:b/>
          <w:bCs/>
          <w:sz w:val="28"/>
          <w:szCs w:val="28"/>
        </w:rPr>
      </w:pPr>
      <w:r w:rsidRPr="00FA6E74">
        <w:rPr>
          <w:rFonts w:ascii="Century Gothic" w:hAnsi="Century Gothic" w:cs="Arial"/>
          <w:b/>
          <w:bCs/>
          <w:sz w:val="28"/>
          <w:szCs w:val="28"/>
        </w:rPr>
        <w:t>DOCUMENTACIÓN PARA LA SOLICITUD DE UNA AUTORIZACIÓN (TÍTULO HABILITANTE</w:t>
      </w:r>
      <w:r>
        <w:rPr>
          <w:rFonts w:ascii="Century Gothic" w:hAnsi="Century Gothic" w:cs="Arial"/>
          <w:b/>
          <w:bCs/>
          <w:sz w:val="28"/>
          <w:szCs w:val="28"/>
        </w:rPr>
        <w:t>)</w:t>
      </w:r>
      <w:r w:rsidRPr="00FA6E74">
        <w:rPr>
          <w:rFonts w:ascii="Century Gothic" w:hAnsi="Century Gothic" w:cs="Arial"/>
          <w:b/>
          <w:bCs/>
          <w:sz w:val="28"/>
          <w:szCs w:val="28"/>
        </w:rPr>
        <w:t xml:space="preserve"> </w:t>
      </w:r>
      <w:r>
        <w:rPr>
          <w:rFonts w:ascii="Century Gothic" w:hAnsi="Century Gothic" w:cs="Arial"/>
          <w:b/>
          <w:bCs/>
          <w:sz w:val="28"/>
          <w:szCs w:val="28"/>
        </w:rPr>
        <w:t xml:space="preserve">DE SERVICIO COMERCIAL </w:t>
      </w:r>
      <w:r w:rsidRPr="00FA6E74">
        <w:rPr>
          <w:rFonts w:ascii="Century Gothic" w:hAnsi="Century Gothic" w:cs="Arial"/>
          <w:b/>
          <w:bCs/>
          <w:sz w:val="28"/>
          <w:szCs w:val="28"/>
        </w:rPr>
        <w:t>CONFORME AL ARTÍCULO 139 DEL TRLPEMM)</w:t>
      </w:r>
      <w:r>
        <w:rPr>
          <w:rFonts w:ascii="Century Gothic" w:hAnsi="Century Gothic" w:cs="Arial"/>
          <w:b/>
          <w:bCs/>
          <w:sz w:val="28"/>
          <w:szCs w:val="28"/>
        </w:rPr>
        <w:t xml:space="preserve"> – TTS/MTTS</w:t>
      </w:r>
    </w:p>
    <w:p w14:paraId="08E93BF8" w14:textId="77207221" w:rsidR="006D6168" w:rsidRDefault="006D6168" w:rsidP="006D6168">
      <w:pPr>
        <w:jc w:val="both"/>
        <w:rPr>
          <w:rFonts w:ascii="Century Gothic" w:hAnsi="Century Gothic" w:cs="Arial"/>
        </w:rPr>
      </w:pPr>
      <w:r w:rsidRPr="00F062F1">
        <w:rPr>
          <w:rFonts w:ascii="Century Gothic" w:hAnsi="Century Gothic" w:cs="Arial"/>
        </w:rPr>
        <w:t xml:space="preserve">Para que la Autoridad Portuaria resuelva sobre el otorgamiento de </w:t>
      </w:r>
      <w:r w:rsidR="00602033">
        <w:rPr>
          <w:rFonts w:ascii="Century Gothic" w:hAnsi="Century Gothic" w:cs="Arial"/>
        </w:rPr>
        <w:t xml:space="preserve">un </w:t>
      </w:r>
      <w:r>
        <w:rPr>
          <w:rFonts w:ascii="Century Gothic" w:hAnsi="Century Gothic" w:cs="Arial"/>
        </w:rPr>
        <w:t>título habilitante</w:t>
      </w:r>
      <w:r w:rsidRPr="00F062F1">
        <w:rPr>
          <w:rFonts w:ascii="Century Gothic" w:hAnsi="Century Gothic" w:cs="Arial"/>
        </w:rPr>
        <w:t xml:space="preserve"> para la prestación del servicio objeto de este P</w:t>
      </w:r>
      <w:r>
        <w:rPr>
          <w:rFonts w:ascii="Century Gothic" w:hAnsi="Century Gothic" w:cs="Arial"/>
        </w:rPr>
        <w:t>C</w:t>
      </w:r>
      <w:r w:rsidRPr="00F062F1">
        <w:rPr>
          <w:rFonts w:ascii="Century Gothic" w:hAnsi="Century Gothic" w:cs="Arial"/>
        </w:rPr>
        <w:t xml:space="preserve">P, el interesado deberá formular una solicitud que contendrá los datos señalados en el artículo 66.1 de la Ley 39/2015, de 1 de octubre, de Procedimiento Administrativo Común de las Administraciones Públicas, e irá acompañada de la siguiente documentación: </w:t>
      </w:r>
    </w:p>
    <w:p w14:paraId="76AE47D9" w14:textId="77777777" w:rsidR="006D6168" w:rsidRPr="00F062F1" w:rsidRDefault="006D6168" w:rsidP="006D6168">
      <w:pPr>
        <w:jc w:val="both"/>
        <w:rPr>
          <w:rFonts w:ascii="Century Gothic" w:hAnsi="Century Gothic" w:cs="Arial"/>
          <w:b/>
          <w:bCs/>
        </w:rPr>
      </w:pPr>
      <w:r w:rsidRPr="00F062F1">
        <w:rPr>
          <w:rFonts w:ascii="Century Gothic" w:hAnsi="Century Gothic" w:cs="Arial"/>
          <w:b/>
          <w:bCs/>
        </w:rPr>
        <w:t>A. De carácter administrativo</w:t>
      </w:r>
    </w:p>
    <w:p w14:paraId="170736DC" w14:textId="77777777" w:rsidR="006D6168" w:rsidRPr="00F062F1" w:rsidRDefault="006D6168" w:rsidP="006965D8">
      <w:pPr>
        <w:numPr>
          <w:ilvl w:val="0"/>
          <w:numId w:val="63"/>
        </w:numPr>
        <w:ind w:left="284" w:hanging="142"/>
        <w:jc w:val="both"/>
        <w:rPr>
          <w:rFonts w:ascii="Century Gothic" w:hAnsi="Century Gothic" w:cs="Arial"/>
        </w:rPr>
      </w:pPr>
      <w:r w:rsidRPr="00F062F1">
        <w:rPr>
          <w:rFonts w:ascii="Century Gothic" w:hAnsi="Century Gothic" w:cs="Arial"/>
        </w:rPr>
        <w:t xml:space="preserve">Documentación acreditativa de la </w:t>
      </w:r>
      <w:r w:rsidRPr="00F062F1">
        <w:rPr>
          <w:rFonts w:ascii="Century Gothic" w:hAnsi="Century Gothic" w:cs="Arial"/>
          <w:b/>
          <w:bCs/>
        </w:rPr>
        <w:t xml:space="preserve">capacidad de obrar </w:t>
      </w:r>
      <w:r w:rsidRPr="00F062F1">
        <w:rPr>
          <w:rFonts w:ascii="Century Gothic" w:hAnsi="Century Gothic" w:cs="Arial"/>
        </w:rPr>
        <w:t>del solicitante:</w:t>
      </w:r>
    </w:p>
    <w:p w14:paraId="0AD06679" w14:textId="77777777" w:rsidR="006D6168" w:rsidRPr="00FF1F7D" w:rsidRDefault="006D6168" w:rsidP="006D6168">
      <w:pPr>
        <w:ind w:left="360"/>
        <w:jc w:val="both"/>
        <w:rPr>
          <w:rFonts w:ascii="Century Gothic" w:hAnsi="Century Gothic" w:cs="Arial"/>
        </w:rPr>
      </w:pPr>
      <w:r w:rsidRPr="00FF1F7D">
        <w:rPr>
          <w:rFonts w:ascii="Century Gothic" w:hAnsi="Century Gothic" w:cs="Arial"/>
        </w:rPr>
        <w:t xml:space="preserve">Si se trata de una persona física, documento nacional de identidad o, en el supuesto de ciudadanos extranjeros, el documento equivalente. </w:t>
      </w:r>
    </w:p>
    <w:p w14:paraId="77F7ED8C" w14:textId="77777777" w:rsidR="006D6168" w:rsidRPr="00FF1F7D" w:rsidRDefault="006D6168" w:rsidP="006D6168">
      <w:pPr>
        <w:ind w:left="360"/>
        <w:jc w:val="both"/>
        <w:rPr>
          <w:rFonts w:ascii="Century Gothic" w:hAnsi="Century Gothic" w:cs="Arial"/>
        </w:rPr>
      </w:pPr>
      <w:r w:rsidRPr="00FF1F7D">
        <w:rPr>
          <w:rFonts w:ascii="Century Gothic" w:hAnsi="Century Gothic" w:cs="Arial"/>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7D60F989" w14:textId="77777777" w:rsidR="006D6168" w:rsidRPr="00FF1F7D" w:rsidRDefault="006D6168" w:rsidP="006D6168">
      <w:pPr>
        <w:ind w:left="360"/>
        <w:jc w:val="both"/>
        <w:rPr>
          <w:rFonts w:ascii="Century Gothic" w:hAnsi="Century Gothic" w:cs="Arial"/>
        </w:rPr>
      </w:pPr>
      <w:r w:rsidRPr="00FF1F7D">
        <w:rPr>
          <w:rFonts w:ascii="Century Gothic" w:hAnsi="Century Gothic" w:cs="Arial"/>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0C51E958" w14:textId="77777777" w:rsidR="006D6168" w:rsidRPr="00FF1F7D" w:rsidRDefault="006D6168" w:rsidP="006D6168">
      <w:pPr>
        <w:ind w:left="360"/>
        <w:jc w:val="both"/>
        <w:rPr>
          <w:rFonts w:ascii="Century Gothic" w:hAnsi="Century Gothic" w:cs="Arial"/>
        </w:rPr>
      </w:pPr>
      <w:r w:rsidRPr="00FF1F7D">
        <w:rPr>
          <w:rFonts w:ascii="Century Gothic" w:hAnsi="Century Gothic" w:cs="Arial"/>
        </w:rPr>
        <w:t xml:space="preserve">Si los documentos aportados no están otorgados en España (por ser documentos que acrediten la existencia y personalidad de una entidad extranjera, su inscripción en el registro procedente, etc.), los mismos deben ir acompañados de traducción oficial al castellano realizada por un traductor jurado o a través de representaciones consulares o diplomáticas, y también deben ir acompañados de una certificación de autenticidad mediante copias legalizadas, por la representación diplomática correspondiente o mediante apostilla de La Haya. </w:t>
      </w:r>
    </w:p>
    <w:p w14:paraId="3D719016" w14:textId="77777777" w:rsidR="006D6168" w:rsidRPr="00FF1F7D" w:rsidRDefault="006D6168" w:rsidP="006965D8">
      <w:pPr>
        <w:numPr>
          <w:ilvl w:val="0"/>
          <w:numId w:val="63"/>
        </w:numPr>
        <w:ind w:left="360"/>
        <w:jc w:val="both"/>
        <w:rPr>
          <w:rFonts w:ascii="Century Gothic" w:hAnsi="Century Gothic" w:cs="Arial"/>
        </w:rPr>
      </w:pPr>
      <w:r w:rsidRPr="00FF1F7D">
        <w:rPr>
          <w:rFonts w:ascii="Century Gothic" w:hAnsi="Century Gothic" w:cs="Arial"/>
        </w:rPr>
        <w:t xml:space="preserve">Documentos que acrediten la representación. Los que comparezcan o firmen solicitudes en nombre de otros, deberán presentar poder bastante al efecto, en su caso, debidamente inscrito en el Registro Mercantil, acompañado del </w:t>
      </w:r>
      <w:r w:rsidRPr="00FF1F7D">
        <w:rPr>
          <w:rFonts w:ascii="Century Gothic" w:hAnsi="Century Gothic" w:cs="Arial"/>
        </w:rPr>
        <w:lastRenderedPageBreak/>
        <w:t xml:space="preserve">correspondiente certificado de su vigencia, y el documento nacional de identidad o, en el supuesto de ciudadanos extranjeros, el documento equivalente. </w:t>
      </w:r>
    </w:p>
    <w:p w14:paraId="48B181E5" w14:textId="77777777" w:rsidR="006D6168" w:rsidRPr="00FF1F7D" w:rsidRDefault="006D6168" w:rsidP="006965D8">
      <w:pPr>
        <w:numPr>
          <w:ilvl w:val="0"/>
          <w:numId w:val="63"/>
        </w:numPr>
        <w:ind w:left="360"/>
        <w:jc w:val="both"/>
        <w:rPr>
          <w:rFonts w:ascii="Century Gothic" w:hAnsi="Century Gothic" w:cs="Arial"/>
        </w:rPr>
      </w:pPr>
      <w:r w:rsidRPr="00FF1F7D">
        <w:rPr>
          <w:rFonts w:ascii="Century Gothic" w:hAnsi="Century Gothic" w:cs="Arial"/>
        </w:rPr>
        <w:t xml:space="preserve">Designación de un representante, con facultades suficientes y con oficina en </w:t>
      </w:r>
      <w:r w:rsidRPr="00FF1F7D">
        <w:rPr>
          <w:rFonts w:ascii="Century Gothic" w:hAnsi="Century Gothic" w:cs="Arial"/>
          <w:color w:val="FF0000"/>
        </w:rPr>
        <w:t>XXXXX</w:t>
      </w:r>
      <w:r w:rsidRPr="00FF1F7D">
        <w:rPr>
          <w:rFonts w:ascii="Century Gothic" w:hAnsi="Century Gothic" w:cs="Arial"/>
        </w:rPr>
        <w:t xml:space="preserve">, a los efectos de establecer una comunicación regular con la Autoridad Portuaria. </w:t>
      </w:r>
    </w:p>
    <w:p w14:paraId="5CD1093A" w14:textId="77777777" w:rsidR="006D6168" w:rsidRPr="00FF1F7D" w:rsidRDefault="006D6168" w:rsidP="006965D8">
      <w:pPr>
        <w:numPr>
          <w:ilvl w:val="0"/>
          <w:numId w:val="63"/>
        </w:numPr>
        <w:ind w:left="360"/>
        <w:jc w:val="both"/>
        <w:rPr>
          <w:rFonts w:ascii="Century Gothic" w:hAnsi="Century Gothic" w:cs="Arial"/>
        </w:rPr>
      </w:pPr>
      <w:r w:rsidRPr="00FF1F7D">
        <w:rPr>
          <w:rFonts w:ascii="Century Gothic" w:hAnsi="Century Gothic" w:cs="Arial"/>
        </w:rPr>
        <w:t xml:space="preserve">Sendas certificaciones acreditativas del cumplimiento de las obligaciones de carácter fiscal y laboral por la Administración Tributaria y de la Seguridad Social. </w:t>
      </w:r>
    </w:p>
    <w:p w14:paraId="5A5BEA82" w14:textId="77777777" w:rsidR="006D6168" w:rsidRPr="00FF1F7D" w:rsidRDefault="006D6168" w:rsidP="006965D8">
      <w:pPr>
        <w:numPr>
          <w:ilvl w:val="0"/>
          <w:numId w:val="63"/>
        </w:numPr>
        <w:ind w:left="360"/>
        <w:jc w:val="both"/>
        <w:rPr>
          <w:rFonts w:ascii="Century Gothic" w:hAnsi="Century Gothic" w:cs="Arial"/>
        </w:rPr>
      </w:pPr>
      <w:r w:rsidRPr="00FF1F7D">
        <w:rPr>
          <w:rFonts w:ascii="Century Gothic" w:hAnsi="Century Gothic" w:cs="Arial"/>
        </w:rPr>
        <w:t xml:space="preserve">Declaración responsable de cumplir y mantener a lo largo de la vigencia de la autorización, los requisitos y condiciones exigidas en el Reglamento UE 2017/352, el TRLPEMM, el PCP y en la autorización de servicio. </w:t>
      </w:r>
    </w:p>
    <w:p w14:paraId="13406169" w14:textId="77777777" w:rsidR="006D6168" w:rsidRPr="00FF1F7D" w:rsidRDefault="006D6168" w:rsidP="006965D8">
      <w:pPr>
        <w:numPr>
          <w:ilvl w:val="0"/>
          <w:numId w:val="63"/>
        </w:numPr>
        <w:ind w:left="360"/>
        <w:jc w:val="both"/>
        <w:rPr>
          <w:rFonts w:ascii="Century Gothic" w:hAnsi="Century Gothic"/>
          <w:i/>
        </w:rPr>
      </w:pPr>
      <w:r w:rsidRPr="00FF1F7D">
        <w:rPr>
          <w:rFonts w:ascii="Century Gothic" w:hAnsi="Century Gothic"/>
        </w:rPr>
        <w:t xml:space="preserve">Declaración responsable de disponer, </w:t>
      </w:r>
      <w:r w:rsidRPr="00FF1F7D">
        <w:rPr>
          <w:rFonts w:ascii="Century Gothic" w:hAnsi="Century Gothic" w:cs="Arial"/>
        </w:rPr>
        <w:t>y mantener a lo largo de la vigencia de la autorización,</w:t>
      </w:r>
      <w:r w:rsidRPr="00FF1F7D">
        <w:rPr>
          <w:rFonts w:ascii="Century Gothic" w:hAnsi="Century Gothic"/>
        </w:rPr>
        <w:t xml:space="preserve"> de los permisos, autorizaciones y licencias legalmente exigibles para el ejercicio de la actividad. </w:t>
      </w:r>
    </w:p>
    <w:p w14:paraId="27E5A701" w14:textId="77777777" w:rsidR="006D6168" w:rsidRPr="00FF1F7D" w:rsidRDefault="006D6168" w:rsidP="006965D8">
      <w:pPr>
        <w:numPr>
          <w:ilvl w:val="0"/>
          <w:numId w:val="63"/>
        </w:numPr>
        <w:ind w:left="360"/>
        <w:jc w:val="both"/>
        <w:rPr>
          <w:rFonts w:ascii="Century Gothic" w:hAnsi="Century Gothic" w:cs="Arial"/>
        </w:rPr>
      </w:pPr>
      <w:r w:rsidRPr="00FF1F7D">
        <w:rPr>
          <w:rFonts w:ascii="Century Gothic" w:hAnsi="Century Gothic" w:cs="Arial"/>
        </w:rPr>
        <w:t>Declaración de someterse a la jurisdicción de los Juzgados y Tribunales españoles de cualquier orden para todas las incidencias que, de modo directo o indirecto, pudieran surgir de la autorización concedida, con renuncia, en su caso, al fuero jurisdiccional extranjero que pudiera corresponder al solicitante. Los solicitantes españoles no deberán presentar tal declaración.</w:t>
      </w:r>
    </w:p>
    <w:p w14:paraId="30448B22" w14:textId="77777777" w:rsidR="006D6168" w:rsidRPr="0026020C" w:rsidRDefault="006D6168" w:rsidP="006D6168">
      <w:pPr>
        <w:jc w:val="both"/>
        <w:rPr>
          <w:rFonts w:ascii="Century Gothic" w:hAnsi="Century Gothic" w:cs="Arial"/>
          <w:b/>
          <w:bCs/>
        </w:rPr>
      </w:pPr>
      <w:r w:rsidRPr="0026020C">
        <w:rPr>
          <w:rFonts w:ascii="Century Gothic" w:hAnsi="Century Gothic" w:cs="Arial"/>
          <w:b/>
          <w:bCs/>
        </w:rPr>
        <w:t>B. De carácter económico-financiero</w:t>
      </w:r>
    </w:p>
    <w:p w14:paraId="509A72EA" w14:textId="77777777" w:rsidR="006D6168" w:rsidRPr="002C1A00" w:rsidRDefault="006D6168" w:rsidP="00602033">
      <w:pPr>
        <w:numPr>
          <w:ilvl w:val="0"/>
          <w:numId w:val="62"/>
        </w:numPr>
        <w:ind w:left="567" w:hanging="425"/>
        <w:jc w:val="both"/>
        <w:rPr>
          <w:rFonts w:ascii="Century Gothic" w:hAnsi="Century Gothic" w:cs="Arial"/>
        </w:rPr>
      </w:pPr>
      <w:r w:rsidRPr="002C1A00">
        <w:rPr>
          <w:rFonts w:ascii="Century Gothic" w:hAnsi="Century Gothic" w:cs="Arial"/>
        </w:rPr>
        <w:t>Declaración responsable de constituir, antes del inicio de la actividad, la garantía exigida en la Condición 8ª y de presentar la documentación acreditativa una vez constituida.</w:t>
      </w:r>
    </w:p>
    <w:p w14:paraId="5037537F" w14:textId="77777777" w:rsidR="006D6168" w:rsidRPr="002C1A00" w:rsidRDefault="006D6168" w:rsidP="00602033">
      <w:pPr>
        <w:numPr>
          <w:ilvl w:val="0"/>
          <w:numId w:val="62"/>
        </w:numPr>
        <w:ind w:left="567" w:hanging="425"/>
        <w:jc w:val="both"/>
        <w:rPr>
          <w:rFonts w:ascii="Century Gothic" w:hAnsi="Century Gothic" w:cs="Arial"/>
        </w:rPr>
      </w:pPr>
      <w:r w:rsidRPr="002C1A00">
        <w:rPr>
          <w:rFonts w:ascii="Century Gothic" w:hAnsi="Century Gothic" w:cs="Arial"/>
        </w:rPr>
        <w:t xml:space="preserve">Declaración responsable de contratar, antes del inicio de la actividad, un seguro de responsabilidad civil que cubra los riesgos propios de la prestación del servicio por la cantidad mínima establecida en la Condición 6ª y de presentar la documentación acreditativa una vez contratado. </w:t>
      </w:r>
    </w:p>
    <w:p w14:paraId="758B1CD4" w14:textId="6FD4E26D" w:rsidR="006D6168" w:rsidRPr="002C1A00" w:rsidRDefault="008519F1" w:rsidP="00602033">
      <w:pPr>
        <w:numPr>
          <w:ilvl w:val="0"/>
          <w:numId w:val="62"/>
        </w:numPr>
        <w:ind w:left="567" w:hanging="425"/>
        <w:jc w:val="both"/>
        <w:rPr>
          <w:rFonts w:ascii="Century Gothic" w:hAnsi="Century Gothic"/>
        </w:rPr>
      </w:pPr>
      <w:r>
        <w:rPr>
          <w:rFonts w:ascii="Century Gothic" w:hAnsi="Century Gothic" w:cs="Arial"/>
        </w:rPr>
        <w:t>D</w:t>
      </w:r>
      <w:r w:rsidR="006D6168" w:rsidRPr="002C1A00">
        <w:rPr>
          <w:rFonts w:ascii="Century Gothic" w:hAnsi="Century Gothic" w:cs="Arial"/>
        </w:rPr>
        <w:t xml:space="preserve">eclaración responsable de presentar, antes del inicio de la actividad, la documentación acreditativa de disponer de la garantía financiera medioambiental que en su caso resulte. Esta garantía podrá estar incluida en el seguro de responsabilidad civil. </w:t>
      </w:r>
    </w:p>
    <w:p w14:paraId="74DDEE38" w14:textId="0405C181" w:rsidR="006D6168" w:rsidRDefault="006D6168" w:rsidP="00602033">
      <w:pPr>
        <w:numPr>
          <w:ilvl w:val="0"/>
          <w:numId w:val="62"/>
        </w:numPr>
        <w:ind w:left="567" w:hanging="425"/>
        <w:jc w:val="both"/>
        <w:rPr>
          <w:rFonts w:ascii="Century Gothic" w:hAnsi="Century Gothic" w:cs="Arial"/>
        </w:rPr>
      </w:pPr>
      <w:r w:rsidRPr="002C1A00">
        <w:rPr>
          <w:rFonts w:ascii="Century Gothic" w:hAnsi="Century Gothic" w:cs="Arial"/>
        </w:rPr>
        <w:t>Alta en el epígrafe de Impuesto de Actividades Económicas (IAE) y declaración censal de alta, modificación y baja en el censo de obligados tributarios (modelo 036 o modelo 037).</w:t>
      </w:r>
    </w:p>
    <w:p w14:paraId="0108C845" w14:textId="77777777" w:rsidR="006D6168" w:rsidRPr="0026020C" w:rsidRDefault="006D6168" w:rsidP="006D6168">
      <w:pPr>
        <w:jc w:val="both"/>
        <w:rPr>
          <w:rFonts w:ascii="Century Gothic" w:hAnsi="Century Gothic" w:cs="Arial"/>
          <w:b/>
          <w:bCs/>
        </w:rPr>
      </w:pPr>
      <w:r w:rsidRPr="0026020C">
        <w:rPr>
          <w:rFonts w:ascii="Century Gothic" w:hAnsi="Century Gothic" w:cs="Arial"/>
          <w:b/>
          <w:bCs/>
        </w:rPr>
        <w:t>C. De carácter técnico</w:t>
      </w:r>
    </w:p>
    <w:p w14:paraId="48F79E29" w14:textId="08463063" w:rsidR="006D6168" w:rsidRPr="00D5589E" w:rsidRDefault="006965D8" w:rsidP="008519F1">
      <w:pPr>
        <w:ind w:left="426" w:hanging="426"/>
        <w:jc w:val="both"/>
        <w:rPr>
          <w:rFonts w:ascii="Century Gothic" w:hAnsi="Century Gothic" w:cstheme="minorHAnsi"/>
        </w:rPr>
      </w:pPr>
      <w:r>
        <w:rPr>
          <w:rFonts w:ascii="Century Gothic" w:hAnsi="Century Gothic" w:cs="Arial"/>
        </w:rPr>
        <w:t xml:space="preserve">C.1 </w:t>
      </w:r>
      <w:r w:rsidR="006D6168" w:rsidRPr="00D5589E">
        <w:rPr>
          <w:rFonts w:ascii="Century Gothic" w:hAnsi="Century Gothic" w:cs="Arial"/>
        </w:rPr>
        <w:t>Declaración responsable</w:t>
      </w:r>
      <w:r w:rsidR="006D6168" w:rsidRPr="00D5589E">
        <w:rPr>
          <w:rFonts w:ascii="Century Gothic" w:hAnsi="Century Gothic" w:cstheme="minorHAnsi"/>
        </w:rPr>
        <w:t xml:space="preserve"> de adoptar los procedimientos y medidas establecidos y a cumplir los pactos y normas que, en </w:t>
      </w:r>
      <w:r w:rsidR="006D6168" w:rsidRPr="0026020C">
        <w:rPr>
          <w:rFonts w:ascii="Century Gothic" w:hAnsi="Century Gothic" w:cs="Arial"/>
        </w:rPr>
        <w:t>relación</w:t>
      </w:r>
      <w:r w:rsidR="006D6168" w:rsidRPr="00D5589E">
        <w:rPr>
          <w:rFonts w:ascii="Century Gothic" w:hAnsi="Century Gothic" w:cstheme="minorHAnsi"/>
        </w:rPr>
        <w:t xml:space="preserve"> con la seguridad y salud de los trabajadores, se implanten dentro de la zona portuaria.</w:t>
      </w:r>
    </w:p>
    <w:p w14:paraId="5E7B7358" w14:textId="4C9743CD" w:rsidR="006D6168" w:rsidRPr="00D5589E" w:rsidRDefault="006965D8" w:rsidP="008519F1">
      <w:pPr>
        <w:ind w:left="426" w:hanging="426"/>
        <w:jc w:val="both"/>
        <w:rPr>
          <w:rFonts w:ascii="Century Gothic" w:hAnsi="Century Gothic" w:cstheme="minorHAnsi"/>
        </w:rPr>
      </w:pPr>
      <w:r>
        <w:rPr>
          <w:rFonts w:ascii="Century Gothic" w:hAnsi="Century Gothic" w:cs="Arial"/>
        </w:rPr>
        <w:t xml:space="preserve">C.2 </w:t>
      </w:r>
      <w:r w:rsidR="006D6168" w:rsidRPr="0026020C">
        <w:rPr>
          <w:rFonts w:ascii="Century Gothic" w:hAnsi="Century Gothic" w:cs="Arial"/>
        </w:rPr>
        <w:t>Declaración</w:t>
      </w:r>
      <w:r w:rsidR="006D6168" w:rsidRPr="00D5589E">
        <w:rPr>
          <w:rFonts w:ascii="Century Gothic" w:hAnsi="Century Gothic" w:cstheme="minorHAnsi"/>
        </w:rPr>
        <w:t xml:space="preserve"> responsable de conocer los procedimientos de la operación y de disponer de los medios humanos y materiales que se adscribirán al servicio, todo </w:t>
      </w:r>
      <w:r w:rsidR="006D6168" w:rsidRPr="00D5589E">
        <w:rPr>
          <w:rFonts w:ascii="Century Gothic" w:hAnsi="Century Gothic" w:cstheme="minorHAnsi"/>
        </w:rPr>
        <w:lastRenderedPageBreak/>
        <w:t xml:space="preserve">lo cual se detallará y evaluará en el trámite de obtención de la </w:t>
      </w:r>
      <w:r w:rsidR="006D6168">
        <w:rPr>
          <w:rFonts w:ascii="Century Gothic" w:hAnsi="Century Gothic" w:cstheme="minorHAnsi"/>
        </w:rPr>
        <w:t>Validación técnica</w:t>
      </w:r>
      <w:r w:rsidR="006D6168" w:rsidRPr="00D5589E">
        <w:rPr>
          <w:rFonts w:ascii="Century Gothic" w:hAnsi="Century Gothic" w:cstheme="minorHAnsi"/>
        </w:rPr>
        <w:t xml:space="preserve">. En esta Declaración responsable, el solicitante incluirá expresamente que se compromete a comunicar a la mayor brevedad a la Autoridad Portuaria cualquier cambio sustancial en los </w:t>
      </w:r>
      <w:r w:rsidR="006D6168">
        <w:rPr>
          <w:rFonts w:ascii="Century Gothic" w:hAnsi="Century Gothic" w:cstheme="minorHAnsi"/>
        </w:rPr>
        <w:t>procedimiento</w:t>
      </w:r>
      <w:r w:rsidR="006D6168" w:rsidRPr="00D5589E">
        <w:rPr>
          <w:rFonts w:ascii="Century Gothic" w:hAnsi="Century Gothic" w:cstheme="minorHAnsi"/>
        </w:rPr>
        <w:t xml:space="preserve"> </w:t>
      </w:r>
      <w:r w:rsidR="006D6168">
        <w:rPr>
          <w:rFonts w:ascii="Century Gothic" w:hAnsi="Century Gothic" w:cstheme="minorHAnsi"/>
        </w:rPr>
        <w:t xml:space="preserve">y </w:t>
      </w:r>
      <w:r w:rsidR="006D6168" w:rsidRPr="00D5589E">
        <w:rPr>
          <w:rFonts w:ascii="Century Gothic" w:hAnsi="Century Gothic" w:cstheme="minorHAnsi"/>
        </w:rPr>
        <w:t>medios</w:t>
      </w:r>
      <w:r w:rsidR="006D6168">
        <w:rPr>
          <w:rFonts w:ascii="Century Gothic" w:hAnsi="Century Gothic" w:cstheme="minorHAnsi"/>
        </w:rPr>
        <w:t xml:space="preserve"> </w:t>
      </w:r>
      <w:r w:rsidR="006D6168" w:rsidRPr="00D5589E">
        <w:rPr>
          <w:rFonts w:ascii="Century Gothic" w:hAnsi="Century Gothic" w:cstheme="minorHAnsi"/>
        </w:rPr>
        <w:t xml:space="preserve">autorizados en la </w:t>
      </w:r>
      <w:r w:rsidR="006D6168">
        <w:rPr>
          <w:rFonts w:ascii="Century Gothic" w:hAnsi="Century Gothic" w:cstheme="minorHAnsi"/>
        </w:rPr>
        <w:t>Validación técnica</w:t>
      </w:r>
      <w:r w:rsidR="006D6168" w:rsidRPr="00D5589E">
        <w:rPr>
          <w:rFonts w:ascii="Century Gothic" w:hAnsi="Century Gothic" w:cstheme="minorHAnsi"/>
        </w:rPr>
        <w:t xml:space="preserve">. </w:t>
      </w:r>
    </w:p>
    <w:p w14:paraId="4104E437" w14:textId="2C454BB9" w:rsidR="006D6168" w:rsidRPr="00D5589E" w:rsidRDefault="006965D8" w:rsidP="008519F1">
      <w:pPr>
        <w:ind w:left="426" w:hanging="426"/>
        <w:jc w:val="both"/>
        <w:rPr>
          <w:rFonts w:ascii="Century Gothic" w:hAnsi="Century Gothic" w:cs="Arial"/>
        </w:rPr>
      </w:pPr>
      <w:r>
        <w:rPr>
          <w:rFonts w:ascii="Century Gothic" w:hAnsi="Century Gothic" w:cs="Arial"/>
        </w:rPr>
        <w:t xml:space="preserve">C.3 </w:t>
      </w:r>
      <w:r w:rsidR="006D6168" w:rsidRPr="00D5589E">
        <w:rPr>
          <w:rFonts w:ascii="Century Gothic" w:hAnsi="Century Gothic" w:cs="Arial"/>
        </w:rPr>
        <w:t>Certificación del sistema de gestión de la calidad y del medioambiente (para la calidad la ISO 9000, y para el medio ambiente la ISO 1400</w:t>
      </w:r>
      <w:r w:rsidR="00AE3F89">
        <w:rPr>
          <w:rFonts w:ascii="Century Gothic" w:hAnsi="Century Gothic" w:cs="Arial"/>
        </w:rPr>
        <w:t>1</w:t>
      </w:r>
      <w:r w:rsidR="006D6168" w:rsidRPr="00D5589E">
        <w:rPr>
          <w:rFonts w:ascii="Century Gothic" w:hAnsi="Century Gothic" w:cs="Arial"/>
        </w:rPr>
        <w:t xml:space="preserve"> o acreditaciones EMAS) o, en su defecto, compromiso de aportar dicha certificación en el plazo establecido en la Condición 6ª.</w:t>
      </w:r>
    </w:p>
    <w:p w14:paraId="73B3E55F" w14:textId="77777777" w:rsidR="006D6168" w:rsidRPr="0026020C" w:rsidRDefault="006D6168" w:rsidP="006D6168">
      <w:pPr>
        <w:jc w:val="both"/>
        <w:rPr>
          <w:rFonts w:ascii="Century Gothic" w:hAnsi="Century Gothic" w:cs="Arial"/>
          <w:b/>
          <w:bCs/>
        </w:rPr>
      </w:pPr>
      <w:r w:rsidRPr="0026020C">
        <w:rPr>
          <w:rFonts w:ascii="Century Gothic" w:hAnsi="Century Gothic" w:cs="Arial"/>
          <w:b/>
          <w:bCs/>
        </w:rPr>
        <w:t>D. De otro carácter</w:t>
      </w:r>
    </w:p>
    <w:p w14:paraId="435FF544" w14:textId="2F38C606" w:rsidR="006D6168" w:rsidRPr="00CF645B" w:rsidRDefault="006965D8" w:rsidP="006D6168">
      <w:pPr>
        <w:jc w:val="both"/>
        <w:rPr>
          <w:rFonts w:ascii="Century Gothic" w:hAnsi="Century Gothic" w:cs="Arial"/>
        </w:rPr>
      </w:pPr>
      <w:r>
        <w:rPr>
          <w:rFonts w:ascii="Century Gothic" w:hAnsi="Century Gothic" w:cs="Arial"/>
        </w:rPr>
        <w:t>D.1 Com</w:t>
      </w:r>
      <w:r w:rsidR="006D6168" w:rsidRPr="00D5589E">
        <w:rPr>
          <w:rFonts w:ascii="Century Gothic" w:hAnsi="Century Gothic" w:cs="Arial"/>
        </w:rPr>
        <w:t xml:space="preserve">unicaciones informativas relativas a la Ley Orgánica de Protección de Datos hechas a cada una de las personas físicas cuyos datos sean cedidos a la Autoridad Portuaria y firmadas individualmente por cada uno de los afectados. </w:t>
      </w:r>
    </w:p>
    <w:p w14:paraId="5350F969" w14:textId="77777777" w:rsidR="006D6168" w:rsidRPr="00533CB4" w:rsidRDefault="006D6168" w:rsidP="006965D8">
      <w:pPr>
        <w:pStyle w:val="Prrafodelista"/>
        <w:numPr>
          <w:ilvl w:val="0"/>
          <w:numId w:val="52"/>
        </w:numPr>
        <w:jc w:val="both"/>
        <w:rPr>
          <w:rFonts w:ascii="Century Gothic" w:hAnsi="Century Gothic" w:cs="Arial"/>
          <w:b/>
          <w:bCs/>
          <w:sz w:val="28"/>
          <w:szCs w:val="28"/>
        </w:rPr>
      </w:pPr>
      <w:r w:rsidRPr="00533CB4">
        <w:rPr>
          <w:rFonts w:ascii="Century Gothic" w:hAnsi="Century Gothic" w:cs="Arial"/>
          <w:b/>
          <w:bCs/>
          <w:sz w:val="28"/>
          <w:szCs w:val="28"/>
        </w:rPr>
        <w:t xml:space="preserve">DOCUMENTACIÓN PARA LA SOLICITUD DE </w:t>
      </w:r>
      <w:r>
        <w:rPr>
          <w:rFonts w:ascii="Century Gothic" w:hAnsi="Century Gothic" w:cs="Arial"/>
          <w:b/>
          <w:bCs/>
          <w:sz w:val="28"/>
          <w:szCs w:val="28"/>
        </w:rPr>
        <w:t xml:space="preserve">VALIDACIÓN </w:t>
      </w:r>
      <w:r w:rsidRPr="00533CB4">
        <w:rPr>
          <w:rFonts w:ascii="Century Gothic" w:hAnsi="Century Gothic" w:cs="Arial"/>
          <w:b/>
          <w:bCs/>
          <w:sz w:val="28"/>
          <w:szCs w:val="28"/>
        </w:rPr>
        <w:t>TÉCNICA DE SUMINISTRO</w:t>
      </w:r>
      <w:r>
        <w:rPr>
          <w:rFonts w:ascii="Century Gothic" w:hAnsi="Century Gothic" w:cs="Arial"/>
          <w:b/>
          <w:bCs/>
          <w:sz w:val="28"/>
          <w:szCs w:val="28"/>
        </w:rPr>
        <w:t xml:space="preserve"> TTS/MTTS</w:t>
      </w:r>
    </w:p>
    <w:p w14:paraId="647D1B77" w14:textId="13BC437C" w:rsidR="006D6168" w:rsidRDefault="006D6168" w:rsidP="006D6168">
      <w:pPr>
        <w:jc w:val="both"/>
        <w:rPr>
          <w:rFonts w:ascii="Century Gothic" w:hAnsi="Century Gothic" w:cs="Arial"/>
        </w:rPr>
      </w:pPr>
      <w:r w:rsidRPr="00BB7D45">
        <w:rPr>
          <w:rFonts w:ascii="Century Gothic" w:hAnsi="Century Gothic" w:cs="Arial"/>
        </w:rPr>
        <w:t xml:space="preserve">Para que la Autoridad Portuaria resuelva sobre el otorgamiento de una </w:t>
      </w:r>
      <w:r>
        <w:rPr>
          <w:rFonts w:ascii="Century Gothic" w:hAnsi="Century Gothic" w:cs="Arial"/>
        </w:rPr>
        <w:t xml:space="preserve">validación técnica </w:t>
      </w:r>
      <w:r w:rsidRPr="00BB7D45">
        <w:rPr>
          <w:rFonts w:ascii="Century Gothic" w:hAnsi="Century Gothic" w:cs="Arial"/>
        </w:rPr>
        <w:t xml:space="preserve">para la prestación del servicio </w:t>
      </w:r>
      <w:r w:rsidR="00E73F7E">
        <w:rPr>
          <w:rFonts w:ascii="Century Gothic" w:hAnsi="Century Gothic" w:cs="Arial"/>
        </w:rPr>
        <w:t>conforme al procedimiento que se detalla en el Anexo I-TTS</w:t>
      </w:r>
      <w:r w:rsidRPr="00BB7D45">
        <w:rPr>
          <w:rFonts w:ascii="Century Gothic" w:hAnsi="Century Gothic" w:cs="Arial"/>
        </w:rPr>
        <w:t xml:space="preserve"> de este PCP, el interesado deberá formular una solicitud</w:t>
      </w:r>
      <w:r w:rsidR="00E73F7E">
        <w:rPr>
          <w:rFonts w:ascii="Century Gothic" w:hAnsi="Century Gothic" w:cs="Arial"/>
        </w:rPr>
        <w:t xml:space="preserve"> acompañada de la documentación que se detalla a continuación.</w:t>
      </w:r>
      <w:r>
        <w:rPr>
          <w:rFonts w:ascii="Century Gothic" w:hAnsi="Century Gothic" w:cs="Arial"/>
        </w:rPr>
        <w:t xml:space="preserve"> </w:t>
      </w:r>
    </w:p>
    <w:p w14:paraId="6FA538AD" w14:textId="77777777" w:rsidR="006D6168" w:rsidRDefault="006D6168" w:rsidP="006D6168">
      <w:pPr>
        <w:jc w:val="both"/>
        <w:rPr>
          <w:rFonts w:ascii="Century Gothic" w:hAnsi="Century Gothic"/>
          <w:b/>
          <w:bCs/>
        </w:rPr>
      </w:pPr>
      <w:r w:rsidRPr="00602033">
        <w:rPr>
          <w:rFonts w:ascii="Century Gothic" w:hAnsi="Century Gothic"/>
          <w:b/>
          <w:bCs/>
        </w:rPr>
        <w:t>Se podrá tramitar en el mismo expediente la validación técnica de diversas tipologías de buques receptores</w:t>
      </w:r>
      <w:r w:rsidRPr="00547BCB">
        <w:rPr>
          <w:rFonts w:ascii="Century Gothic" w:hAnsi="Century Gothic"/>
        </w:rPr>
        <w:t xml:space="preserve">, siempre que se presente la documentación específica </w:t>
      </w:r>
      <w:r>
        <w:rPr>
          <w:rFonts w:ascii="Century Gothic" w:hAnsi="Century Gothic"/>
        </w:rPr>
        <w:t xml:space="preserve">para </w:t>
      </w:r>
      <w:r w:rsidRPr="00547BCB">
        <w:rPr>
          <w:rFonts w:ascii="Century Gothic" w:hAnsi="Century Gothic"/>
        </w:rPr>
        <w:t>cada tipología de buques receptores</w:t>
      </w:r>
      <w:r>
        <w:rPr>
          <w:rFonts w:ascii="Century Gothic" w:hAnsi="Century Gothic"/>
          <w:color w:val="ED0000"/>
        </w:rPr>
        <w:t xml:space="preserve"> </w:t>
      </w:r>
      <w:r w:rsidRPr="00AB4E24">
        <w:rPr>
          <w:rFonts w:ascii="Century Gothic" w:hAnsi="Century Gothic"/>
          <w:color w:val="ED0000"/>
        </w:rPr>
        <w:t>(pasaje, transbordadores, portacontenedores, car carrier o RoRo, graneleros o buques de carga general o LoLo, petroleros o quimiqueros y otros)</w:t>
      </w:r>
      <w:r w:rsidRPr="00547BCB">
        <w:rPr>
          <w:rFonts w:ascii="Century Gothic" w:hAnsi="Century Gothic"/>
        </w:rPr>
        <w:t>.</w:t>
      </w:r>
      <w:r w:rsidRPr="00547BCB">
        <w:rPr>
          <w:rFonts w:ascii="Century Gothic" w:hAnsi="Century Gothic"/>
          <w:b/>
          <w:bCs/>
        </w:rPr>
        <w:t xml:space="preserve"> </w:t>
      </w:r>
    </w:p>
    <w:p w14:paraId="307C3F22" w14:textId="77777777" w:rsidR="006D6168" w:rsidRPr="00C032C1" w:rsidRDefault="006D6168" w:rsidP="006D6168">
      <w:pPr>
        <w:jc w:val="both"/>
        <w:rPr>
          <w:rFonts w:ascii="Century Gothic" w:hAnsi="Century Gothic"/>
        </w:rPr>
      </w:pPr>
      <w:r w:rsidRPr="00C032C1">
        <w:rPr>
          <w:rFonts w:ascii="Century Gothic" w:hAnsi="Century Gothic"/>
        </w:rPr>
        <w:t>El plazo del que dispone la Autoridad Portuaria para tramitar el expediente de validación técnica será de 15 días hábiles. Cabe resaltar que el expediente no se empezará a tramitar hasta que no se haya presentado toda la documentación listada especificada en este apartado.</w:t>
      </w:r>
    </w:p>
    <w:p w14:paraId="298EBF9D" w14:textId="77777777" w:rsidR="006D6168" w:rsidRPr="00BB7D45" w:rsidRDefault="006D6168" w:rsidP="006965D8">
      <w:pPr>
        <w:numPr>
          <w:ilvl w:val="0"/>
          <w:numId w:val="48"/>
        </w:numPr>
        <w:jc w:val="both"/>
        <w:rPr>
          <w:rFonts w:ascii="Century Gothic" w:hAnsi="Century Gothic" w:cs="Arial"/>
        </w:rPr>
      </w:pPr>
      <w:r w:rsidRPr="00BB7D45">
        <w:rPr>
          <w:rFonts w:ascii="Century Gothic" w:hAnsi="Century Gothic" w:cs="Arial"/>
          <w:b/>
          <w:bCs/>
        </w:rPr>
        <w:t>Escrito de solicitud</w:t>
      </w:r>
      <w:r w:rsidRPr="00BB7D45">
        <w:rPr>
          <w:rFonts w:ascii="Century Gothic" w:hAnsi="Century Gothic" w:cs="Arial"/>
        </w:rPr>
        <w:t xml:space="preserve">, dirigido a la Autoridad Portuaria firmado por el suministrador, en el que se aluda a la autorización (título habilitante) previa asociada y que incluya: </w:t>
      </w:r>
    </w:p>
    <w:p w14:paraId="6459AFB7" w14:textId="77777777" w:rsidR="006D6168" w:rsidRPr="00BB7D45" w:rsidRDefault="006D6168" w:rsidP="006965D8">
      <w:pPr>
        <w:numPr>
          <w:ilvl w:val="0"/>
          <w:numId w:val="50"/>
        </w:numPr>
        <w:ind w:left="714" w:hanging="357"/>
        <w:jc w:val="both"/>
        <w:rPr>
          <w:rFonts w:ascii="Century Gothic" w:hAnsi="Century Gothic" w:cs="Arial"/>
        </w:rPr>
      </w:pPr>
      <w:r w:rsidRPr="00BB7D45">
        <w:rPr>
          <w:rFonts w:ascii="Century Gothic" w:hAnsi="Century Gothic" w:cs="Arial"/>
        </w:rPr>
        <w:t>Titular de la autorización del servicio de suministro de GNL</w:t>
      </w:r>
    </w:p>
    <w:p w14:paraId="5FB6FCD5" w14:textId="77777777" w:rsidR="006D6168" w:rsidRPr="00BB7D45" w:rsidRDefault="006D6168" w:rsidP="006965D8">
      <w:pPr>
        <w:numPr>
          <w:ilvl w:val="0"/>
          <w:numId w:val="50"/>
        </w:numPr>
        <w:ind w:left="714" w:hanging="357"/>
        <w:jc w:val="both"/>
        <w:rPr>
          <w:rFonts w:ascii="Century Gothic" w:hAnsi="Century Gothic" w:cs="Arial"/>
        </w:rPr>
      </w:pPr>
      <w:r w:rsidRPr="00BB7D45">
        <w:rPr>
          <w:rFonts w:ascii="Century Gothic" w:hAnsi="Century Gothic" w:cs="Arial"/>
        </w:rPr>
        <w:t>Modalidad de suministro (TTS)</w:t>
      </w:r>
    </w:p>
    <w:p w14:paraId="0A0E732A" w14:textId="77777777" w:rsidR="006D6168" w:rsidRPr="00203BFF" w:rsidRDefault="006D6168" w:rsidP="006965D8">
      <w:pPr>
        <w:pStyle w:val="Prrafodelista"/>
        <w:numPr>
          <w:ilvl w:val="0"/>
          <w:numId w:val="50"/>
        </w:numPr>
        <w:ind w:left="714" w:hanging="357"/>
        <w:contextualSpacing w:val="0"/>
        <w:rPr>
          <w:rFonts w:ascii="Century Gothic" w:hAnsi="Century Gothic" w:cs="Arial"/>
          <w:lang w:val="pt-BR"/>
        </w:rPr>
      </w:pPr>
      <w:r w:rsidRPr="00203BFF">
        <w:rPr>
          <w:rFonts w:ascii="Century Gothic" w:hAnsi="Century Gothic" w:cs="Arial"/>
          <w:lang w:val="pt-BR"/>
        </w:rPr>
        <w:t>Tipo(s) de buque(s) receptores</w:t>
      </w:r>
    </w:p>
    <w:p w14:paraId="6764C86E" w14:textId="77777777" w:rsidR="006D6168" w:rsidRDefault="006D6168" w:rsidP="006965D8">
      <w:pPr>
        <w:pStyle w:val="Prrafodelista"/>
        <w:numPr>
          <w:ilvl w:val="0"/>
          <w:numId w:val="50"/>
        </w:numPr>
        <w:ind w:left="714" w:hanging="357"/>
        <w:contextualSpacing w:val="0"/>
        <w:jc w:val="both"/>
        <w:rPr>
          <w:rFonts w:ascii="Century Gothic" w:hAnsi="Century Gothic" w:cs="Arial"/>
        </w:rPr>
      </w:pPr>
      <w:r>
        <w:rPr>
          <w:rFonts w:ascii="Century Gothic" w:hAnsi="Century Gothic" w:cs="Arial"/>
        </w:rPr>
        <w:t xml:space="preserve">Lista completa actualizada </w:t>
      </w:r>
      <w:r w:rsidRPr="00A0275A">
        <w:rPr>
          <w:rFonts w:ascii="Century Gothic" w:hAnsi="Century Gothic" w:cs="Arial"/>
        </w:rPr>
        <w:t>del equipo suministrador</w:t>
      </w:r>
      <w:r>
        <w:rPr>
          <w:rFonts w:ascii="Century Gothic" w:hAnsi="Century Gothic" w:cs="Arial"/>
        </w:rPr>
        <w:t xml:space="preserve"> principal (vehículos), indicando expresamente </w:t>
      </w:r>
      <w:r w:rsidRPr="00A0275A">
        <w:rPr>
          <w:rFonts w:ascii="Century Gothic" w:hAnsi="Century Gothic" w:cs="Arial"/>
        </w:rPr>
        <w:t xml:space="preserve">si es </w:t>
      </w:r>
      <w:r>
        <w:rPr>
          <w:rFonts w:ascii="Century Gothic" w:hAnsi="Century Gothic" w:cs="Arial"/>
        </w:rPr>
        <w:t xml:space="preserve">flota </w:t>
      </w:r>
      <w:r w:rsidRPr="00A0275A">
        <w:rPr>
          <w:rFonts w:ascii="Century Gothic" w:hAnsi="Century Gothic" w:cs="Arial"/>
        </w:rPr>
        <w:t>propia o de terceros. En el supuesto de que los medios materiales adscritos al servicio no fueran propiedad del solicitante, se presentarán los contratos de arrendamiento correspondientes.</w:t>
      </w:r>
    </w:p>
    <w:p w14:paraId="206A0A51" w14:textId="77777777" w:rsidR="006D6168" w:rsidRPr="00A0275A" w:rsidRDefault="006D6168" w:rsidP="006D6168">
      <w:pPr>
        <w:pStyle w:val="Prrafodelista"/>
        <w:ind w:left="714"/>
        <w:contextualSpacing w:val="0"/>
        <w:jc w:val="both"/>
        <w:rPr>
          <w:rFonts w:ascii="Century Gothic" w:hAnsi="Century Gothic" w:cs="Arial"/>
        </w:rPr>
      </w:pPr>
      <w:r>
        <w:rPr>
          <w:rFonts w:ascii="Century Gothic" w:hAnsi="Century Gothic" w:cs="Arial"/>
        </w:rPr>
        <w:lastRenderedPageBreak/>
        <w:t>Cualquier cambio en esta relación de medios materiales se notificará a la Autoridad Portuaria a la mayor brevedad, remitiéndose una versión actualizada de esta lista.</w:t>
      </w:r>
    </w:p>
    <w:p w14:paraId="1F1A7D8D" w14:textId="68078853" w:rsidR="006D6168" w:rsidRPr="0026020C" w:rsidRDefault="006D6168" w:rsidP="006965D8">
      <w:pPr>
        <w:numPr>
          <w:ilvl w:val="0"/>
          <w:numId w:val="50"/>
        </w:numPr>
        <w:ind w:left="714" w:hanging="357"/>
        <w:jc w:val="both"/>
        <w:rPr>
          <w:rFonts w:ascii="Century Gothic" w:hAnsi="Century Gothic" w:cs="Arial"/>
        </w:rPr>
      </w:pPr>
      <w:r w:rsidRPr="00BB7D45">
        <w:rPr>
          <w:rFonts w:ascii="Century Gothic" w:hAnsi="Century Gothic" w:cs="Arial"/>
        </w:rPr>
        <w:t>Ubicaciones en las que se pretende realizar el suministro</w:t>
      </w:r>
      <w:r w:rsidR="00602033">
        <w:rPr>
          <w:rFonts w:ascii="Century Gothic" w:hAnsi="Century Gothic" w:cs="Arial"/>
        </w:rPr>
        <w:t>.</w:t>
      </w:r>
    </w:p>
    <w:p w14:paraId="564F3F92" w14:textId="77777777" w:rsidR="006D6168" w:rsidRPr="000D7AFD" w:rsidRDefault="006D6168" w:rsidP="006965D8">
      <w:pPr>
        <w:pStyle w:val="Prrafodelista"/>
        <w:numPr>
          <w:ilvl w:val="0"/>
          <w:numId w:val="48"/>
        </w:numPr>
        <w:jc w:val="both"/>
        <w:rPr>
          <w:rFonts w:ascii="Century Gothic" w:hAnsi="Century Gothic" w:cs="Arial"/>
          <w:b/>
          <w:bCs/>
        </w:rPr>
      </w:pPr>
      <w:r w:rsidRPr="000D7AFD">
        <w:rPr>
          <w:rFonts w:ascii="Century Gothic" w:hAnsi="Century Gothic" w:cs="Arial"/>
          <w:b/>
          <w:bCs/>
        </w:rPr>
        <w:t>Documentación técnica</w:t>
      </w:r>
    </w:p>
    <w:p w14:paraId="3946AA77" w14:textId="77777777" w:rsidR="006D6168" w:rsidRPr="00A0275A" w:rsidRDefault="006D6168" w:rsidP="006965D8">
      <w:pPr>
        <w:pStyle w:val="Prrafodelista"/>
        <w:numPr>
          <w:ilvl w:val="0"/>
          <w:numId w:val="51"/>
        </w:numPr>
        <w:jc w:val="both"/>
        <w:rPr>
          <w:rFonts w:ascii="Century Gothic" w:hAnsi="Century Gothic" w:cs="Arial"/>
        </w:rPr>
      </w:pPr>
      <w:r w:rsidRPr="00A0275A">
        <w:rPr>
          <w:rFonts w:ascii="Century Gothic" w:hAnsi="Century Gothic" w:cs="Arial"/>
        </w:rPr>
        <w:t>Memoria Técnica, que incluirá:</w:t>
      </w:r>
    </w:p>
    <w:p w14:paraId="67067CAE" w14:textId="77777777" w:rsidR="006D6168" w:rsidRPr="00BB7D45" w:rsidRDefault="006D6168" w:rsidP="006965D8">
      <w:pPr>
        <w:numPr>
          <w:ilvl w:val="0"/>
          <w:numId w:val="49"/>
        </w:numPr>
        <w:jc w:val="both"/>
        <w:rPr>
          <w:rFonts w:ascii="Century Gothic" w:hAnsi="Century Gothic" w:cs="Arial"/>
        </w:rPr>
      </w:pPr>
      <w:r>
        <w:rPr>
          <w:rFonts w:ascii="Century Gothic" w:hAnsi="Century Gothic" w:cs="Arial"/>
        </w:rPr>
        <w:t>Descripción general de la flota de vehículos y de los medios humanos adscritos.</w:t>
      </w:r>
    </w:p>
    <w:p w14:paraId="7EEA1D29" w14:textId="77777777" w:rsidR="006D6168" w:rsidRPr="00203BFF" w:rsidRDefault="006D6168" w:rsidP="006965D8">
      <w:pPr>
        <w:numPr>
          <w:ilvl w:val="0"/>
          <w:numId w:val="49"/>
        </w:numPr>
        <w:jc w:val="both"/>
        <w:rPr>
          <w:rFonts w:ascii="Century Gothic" w:hAnsi="Century Gothic" w:cs="Arial"/>
        </w:rPr>
      </w:pPr>
      <w:r w:rsidRPr="00203BFF">
        <w:rPr>
          <w:rFonts w:ascii="Century Gothic" w:hAnsi="Century Gothic" w:cs="Arial"/>
        </w:rPr>
        <w:t>Procedimiento técnico-operativo.</w:t>
      </w:r>
    </w:p>
    <w:p w14:paraId="766DBB0E" w14:textId="77777777" w:rsidR="006D6168" w:rsidRPr="00203BFF" w:rsidRDefault="006D6168" w:rsidP="006965D8">
      <w:pPr>
        <w:numPr>
          <w:ilvl w:val="0"/>
          <w:numId w:val="49"/>
        </w:numPr>
        <w:jc w:val="both"/>
        <w:rPr>
          <w:rFonts w:ascii="Century Gothic" w:hAnsi="Century Gothic" w:cs="Arial"/>
        </w:rPr>
      </w:pPr>
      <w:r w:rsidRPr="00203BFF">
        <w:rPr>
          <w:rFonts w:ascii="Century Gothic" w:hAnsi="Century Gothic" w:cs="Arial"/>
        </w:rPr>
        <w:t>Estudio de compatibilidad entre suministrador y tipo(s) de buque(s) receptores.</w:t>
      </w:r>
    </w:p>
    <w:p w14:paraId="6AAE1061" w14:textId="77777777" w:rsidR="006D6168" w:rsidRPr="00A0275A" w:rsidRDefault="006D6168" w:rsidP="006965D8">
      <w:pPr>
        <w:pStyle w:val="Prrafodelista"/>
        <w:numPr>
          <w:ilvl w:val="0"/>
          <w:numId w:val="51"/>
        </w:numPr>
        <w:jc w:val="both"/>
        <w:rPr>
          <w:rFonts w:ascii="Century Gothic" w:hAnsi="Century Gothic" w:cs="Arial"/>
        </w:rPr>
      </w:pPr>
      <w:r w:rsidRPr="00BB7D45">
        <w:rPr>
          <w:rFonts w:ascii="Century Gothic" w:hAnsi="Century Gothic" w:cs="Arial"/>
        </w:rPr>
        <w:t xml:space="preserve">Documentación relativa a SIMOPS (operaciones simultáneas). En caso de que </w:t>
      </w:r>
      <w:r>
        <w:rPr>
          <w:rFonts w:ascii="Century Gothic" w:hAnsi="Century Gothic" w:cs="Arial"/>
        </w:rPr>
        <w:t>se prevea que puedan existir</w:t>
      </w:r>
      <w:r w:rsidRPr="00BB7D45">
        <w:rPr>
          <w:rFonts w:ascii="Century Gothic" w:hAnsi="Century Gothic" w:cs="Arial"/>
        </w:rPr>
        <w:t xml:space="preserve"> operaciones simultáneas (SIMOPS), documento explicativo o tabla breve que indique las SIMOPS previstas, tanto en los medios suministradores, en el buque receptor o en el muelle (o terminal, en caso de estar la zona concesionada) durante las operaciones de suministro de GNL;</w:t>
      </w:r>
      <w:r w:rsidRPr="00A0275A">
        <w:rPr>
          <w:rFonts w:ascii="Century Gothic" w:hAnsi="Century Gothic" w:cs="Arial"/>
        </w:rPr>
        <w:t xml:space="preserve"> </w:t>
      </w:r>
    </w:p>
    <w:p w14:paraId="32B742AA" w14:textId="1A031837" w:rsidR="006D6168" w:rsidRDefault="006D6168" w:rsidP="006965D8">
      <w:pPr>
        <w:pStyle w:val="Prrafodelista"/>
        <w:numPr>
          <w:ilvl w:val="0"/>
          <w:numId w:val="51"/>
        </w:numPr>
        <w:jc w:val="both"/>
        <w:rPr>
          <w:rFonts w:ascii="Century Gothic" w:hAnsi="Century Gothic" w:cs="Arial"/>
        </w:rPr>
      </w:pPr>
      <w:r w:rsidRPr="00BB7D45">
        <w:rPr>
          <w:rFonts w:ascii="Century Gothic" w:hAnsi="Century Gothic" w:cs="Arial"/>
        </w:rPr>
        <w:t>Certificación sistemas de gestión (ISO 900</w:t>
      </w:r>
      <w:r w:rsidR="007B3F61">
        <w:rPr>
          <w:rFonts w:ascii="Century Gothic" w:hAnsi="Century Gothic" w:cs="Arial"/>
        </w:rPr>
        <w:t>0</w:t>
      </w:r>
      <w:r w:rsidRPr="00BB7D45">
        <w:rPr>
          <w:rFonts w:ascii="Century Gothic" w:hAnsi="Century Gothic" w:cs="Arial"/>
        </w:rPr>
        <w:t xml:space="preserve"> +ISO 14001)</w:t>
      </w:r>
    </w:p>
    <w:p w14:paraId="3B853D0A" w14:textId="77777777" w:rsidR="006D6168" w:rsidRPr="00BB7D45" w:rsidRDefault="006D6168" w:rsidP="006D6168">
      <w:pPr>
        <w:pStyle w:val="Prrafodelista"/>
        <w:ind w:left="360"/>
        <w:jc w:val="both"/>
        <w:rPr>
          <w:rFonts w:ascii="Century Gothic" w:hAnsi="Century Gothic" w:cs="Arial"/>
        </w:rPr>
      </w:pPr>
    </w:p>
    <w:p w14:paraId="018374D7" w14:textId="77777777" w:rsidR="006D6168" w:rsidRPr="00BB7D45" w:rsidRDefault="006D6168" w:rsidP="006965D8">
      <w:pPr>
        <w:pStyle w:val="Prrafodelista"/>
        <w:numPr>
          <w:ilvl w:val="0"/>
          <w:numId w:val="48"/>
        </w:numPr>
        <w:jc w:val="both"/>
        <w:rPr>
          <w:rFonts w:ascii="Century Gothic" w:hAnsi="Century Gothic" w:cs="Arial"/>
          <w:b/>
          <w:bCs/>
        </w:rPr>
      </w:pPr>
      <w:r w:rsidRPr="00BB7D45">
        <w:rPr>
          <w:rFonts w:ascii="Century Gothic" w:hAnsi="Century Gothic" w:cs="Arial"/>
        </w:rPr>
        <w:t xml:space="preserve"> </w:t>
      </w:r>
      <w:r w:rsidRPr="00BB7D45">
        <w:rPr>
          <w:rFonts w:ascii="Century Gothic" w:hAnsi="Century Gothic" w:cs="Arial"/>
          <w:b/>
          <w:bCs/>
        </w:rPr>
        <w:t>Documentación de seguridad</w:t>
      </w:r>
    </w:p>
    <w:p w14:paraId="2B26052B" w14:textId="77777777" w:rsidR="006D6168" w:rsidRPr="00BB7D45" w:rsidRDefault="006D6168" w:rsidP="006D6168">
      <w:pPr>
        <w:jc w:val="both"/>
        <w:rPr>
          <w:rFonts w:ascii="Century Gothic" w:hAnsi="Century Gothic" w:cs="Arial"/>
        </w:rPr>
      </w:pPr>
      <w:r w:rsidRPr="00BB7D45">
        <w:rPr>
          <w:rFonts w:ascii="Century Gothic" w:hAnsi="Century Gothic" w:cs="Arial"/>
        </w:rPr>
        <w:t>1.- Plan de Emergencia</w:t>
      </w:r>
      <w:r>
        <w:rPr>
          <w:rFonts w:ascii="Century Gothic" w:hAnsi="Century Gothic" w:cs="Arial"/>
        </w:rPr>
        <w:t xml:space="preserve">, </w:t>
      </w:r>
      <w:r w:rsidRPr="00BB7D45">
        <w:rPr>
          <w:rFonts w:ascii="Century Gothic" w:hAnsi="Century Gothic" w:cs="Arial"/>
        </w:rPr>
        <w:t>Declaración Responsable de adhesión al Plan de Autoprotección (PAU) del puerto</w:t>
      </w:r>
      <w:r>
        <w:rPr>
          <w:rFonts w:ascii="Century Gothic" w:hAnsi="Century Gothic" w:cs="Arial"/>
        </w:rPr>
        <w:t xml:space="preserve"> y listado de contactos para casos de emergencia</w:t>
      </w:r>
    </w:p>
    <w:p w14:paraId="6CA10AC7" w14:textId="77777777" w:rsidR="006D6168" w:rsidRPr="00BB7D45" w:rsidRDefault="006D6168" w:rsidP="006D6168">
      <w:pPr>
        <w:jc w:val="both"/>
        <w:rPr>
          <w:rFonts w:ascii="Century Gothic" w:hAnsi="Century Gothic" w:cs="Arial"/>
        </w:rPr>
      </w:pPr>
      <w:r w:rsidRPr="00BB7D45">
        <w:rPr>
          <w:rFonts w:ascii="Century Gothic" w:hAnsi="Century Gothic" w:cs="Arial"/>
        </w:rPr>
        <w:t xml:space="preserve">2.- Carta de adhesión a los análisis de riesgos genéricos del puerto de </w:t>
      </w:r>
      <w:r w:rsidRPr="00773067">
        <w:rPr>
          <w:rFonts w:ascii="Century Gothic" w:hAnsi="Century Gothic" w:cs="Arial"/>
          <w:color w:val="FF0000"/>
        </w:rPr>
        <w:t>X</w:t>
      </w:r>
      <w:r>
        <w:rPr>
          <w:rFonts w:ascii="Century Gothic" w:hAnsi="Century Gothic" w:cs="Arial"/>
          <w:color w:val="FF0000"/>
        </w:rPr>
        <w:t>X</w:t>
      </w:r>
      <w:r w:rsidRPr="00773067">
        <w:rPr>
          <w:rFonts w:ascii="Century Gothic" w:hAnsi="Century Gothic" w:cs="Arial"/>
          <w:color w:val="FF0000"/>
        </w:rPr>
        <w:t xml:space="preserve">X </w:t>
      </w:r>
      <w:r w:rsidRPr="00BB7D45">
        <w:rPr>
          <w:rFonts w:ascii="Century Gothic" w:hAnsi="Century Gothic" w:cs="Arial"/>
        </w:rPr>
        <w:t xml:space="preserve">realizados por la Autoridad Portuaria en fecha </w:t>
      </w:r>
      <w:r w:rsidRPr="00773067">
        <w:rPr>
          <w:rFonts w:ascii="Century Gothic" w:hAnsi="Century Gothic" w:cs="Arial"/>
          <w:color w:val="FF0000"/>
        </w:rPr>
        <w:t>XX</w:t>
      </w:r>
      <w:r w:rsidRPr="00BB7D45">
        <w:rPr>
          <w:rFonts w:ascii="Century Gothic" w:hAnsi="Century Gothic" w:cs="Arial"/>
          <w:color w:val="2E74B5" w:themeColor="accent5" w:themeShade="BF"/>
        </w:rPr>
        <w:t xml:space="preserve"> </w:t>
      </w:r>
      <w:r w:rsidRPr="00BB7D45">
        <w:rPr>
          <w:rFonts w:ascii="Century Gothic" w:hAnsi="Century Gothic" w:cs="Arial"/>
        </w:rPr>
        <w:t xml:space="preserve">o en caso de que la operativa de suministro de GNL a realizar no esté contemplada en los Análisis de riesgos genéricos existentes en el puerto, o bien se pretenda suministrar en una zona vulnerable (por ejemplo, en zonas públicas), o bien el suministrador no se adhiera a los análisis de riesgos genéricos realizados por la Autoridad Portuaria, se presentarán análisis de riesgos (HAZID, ACR o EAC) específicos para el estudio de la operativa concreta. </w:t>
      </w:r>
    </w:p>
    <w:p w14:paraId="7927568F" w14:textId="77777777" w:rsidR="006D6168" w:rsidRPr="00BB7D45" w:rsidRDefault="006D6168" w:rsidP="006D6168">
      <w:pPr>
        <w:jc w:val="both"/>
        <w:rPr>
          <w:rFonts w:ascii="Century Gothic" w:hAnsi="Century Gothic" w:cs="Arial"/>
        </w:rPr>
      </w:pPr>
      <w:r w:rsidRPr="00BB7D45">
        <w:rPr>
          <w:rFonts w:ascii="Century Gothic" w:hAnsi="Century Gothic" w:cs="Arial"/>
        </w:rPr>
        <w:t xml:space="preserve"> 3.- Planos de ubicación de equipos que contemple, distancias de Seguridad</w:t>
      </w:r>
      <w:r>
        <w:rPr>
          <w:rFonts w:ascii="Century Gothic" w:hAnsi="Century Gothic" w:cs="Arial"/>
        </w:rPr>
        <w:t>,</w:t>
      </w:r>
      <w:r w:rsidRPr="00BB7D45">
        <w:rPr>
          <w:rFonts w:ascii="Century Gothic" w:hAnsi="Century Gothic" w:cs="Arial"/>
        </w:rPr>
        <w:t xml:space="preserve"> zonas ATEX y rutas de escape. Únicamente en caso de que la operación necesite que las distancias de seguridad sean inferiores a las establecidas por defecto en las Condiciones Técnicas (por ejemplo, cuando las distancias de seguridad por defecto interfieran con SIMOPS o afecten a una instalación, entre otras causas), presentación de un Estudio justificativo de distancias a considerar en la operación, acompañado de un análisis cuantitativo de riesgos. </w:t>
      </w:r>
    </w:p>
    <w:p w14:paraId="7530A182" w14:textId="77777777" w:rsidR="006D6168" w:rsidRDefault="006D6168" w:rsidP="006D6168">
      <w:pPr>
        <w:jc w:val="both"/>
        <w:rPr>
          <w:rFonts w:ascii="Century Gothic" w:hAnsi="Century Gothic" w:cs="Arial"/>
        </w:rPr>
      </w:pPr>
      <w:r w:rsidRPr="00BB7D45">
        <w:rPr>
          <w:rFonts w:ascii="Century Gothic" w:hAnsi="Century Gothic" w:cs="Arial"/>
        </w:rPr>
        <w:t>4.- Plan de Prevención de Riesgos Laborales conforme Ley 31/1995</w:t>
      </w:r>
    </w:p>
    <w:p w14:paraId="369C4213" w14:textId="4CAE3766" w:rsidR="00854B96" w:rsidRDefault="00602033" w:rsidP="00602033">
      <w:pPr>
        <w:jc w:val="both"/>
        <w:rPr>
          <w:lang w:eastAsia="es-ES"/>
        </w:rPr>
      </w:pPr>
      <w:r w:rsidRPr="00E34492">
        <w:rPr>
          <w:rFonts w:ascii="Century Gothic" w:hAnsi="Century Gothic" w:cs="Arial"/>
        </w:rPr>
        <w:t>Una vez obtenido el otorgamiento de</w:t>
      </w:r>
      <w:r w:rsidR="002329E2">
        <w:rPr>
          <w:rFonts w:ascii="Century Gothic" w:hAnsi="Century Gothic" w:cs="Arial"/>
        </w:rPr>
        <w:t xml:space="preserve"> </w:t>
      </w:r>
      <w:r w:rsidRPr="00E34492">
        <w:rPr>
          <w:rFonts w:ascii="Century Gothic" w:hAnsi="Century Gothic" w:cs="Arial"/>
        </w:rPr>
        <w:t xml:space="preserve">validación técnica </w:t>
      </w:r>
      <w:r w:rsidR="002329E2">
        <w:rPr>
          <w:rFonts w:ascii="Century Gothic" w:hAnsi="Century Gothic" w:cs="Arial"/>
        </w:rPr>
        <w:t>de operaciones conforme al presente apartado,</w:t>
      </w:r>
      <w:r>
        <w:rPr>
          <w:rFonts w:ascii="Century Gothic" w:hAnsi="Century Gothic" w:cs="Arial"/>
          <w:b/>
          <w:bCs/>
        </w:rPr>
        <w:t xml:space="preserve"> cada</w:t>
      </w:r>
      <w:r w:rsidR="00E73F7E" w:rsidRPr="007451D3">
        <w:rPr>
          <w:rFonts w:ascii="Century Gothic" w:hAnsi="Century Gothic" w:cs="Arial"/>
          <w:b/>
          <w:bCs/>
        </w:rPr>
        <w:t xml:space="preserve"> operación individual </w:t>
      </w:r>
      <w:r>
        <w:rPr>
          <w:rFonts w:ascii="Century Gothic" w:hAnsi="Century Gothic" w:cs="Arial"/>
          <w:b/>
          <w:bCs/>
        </w:rPr>
        <w:t xml:space="preserve">exigirá </w:t>
      </w:r>
      <w:r w:rsidR="00E73F7E" w:rsidRPr="007451D3">
        <w:rPr>
          <w:rFonts w:ascii="Century Gothic" w:hAnsi="Century Gothic" w:cs="Arial"/>
          <w:b/>
          <w:bCs/>
        </w:rPr>
        <w:t>la notificación a la Autoridad Portuaria mediante la presentación, con una antelación mínima de 24 horas, del formulario de «NOTIFICACIÓN DE SUMINISTRO DE GNL, BIO GNL Y e-GNL POR MEDIO DE CAMIÓN CISTERNA» contenido en el Anexo I, parte 1.a), de este PCP</w:t>
      </w:r>
      <w:r w:rsidR="00E73F7E" w:rsidRPr="00E96750">
        <w:rPr>
          <w:rFonts w:ascii="Century Gothic" w:hAnsi="Century Gothic" w:cs="Arial"/>
        </w:rPr>
        <w:t>.</w:t>
      </w:r>
    </w:p>
    <w:p w14:paraId="4E5B39D1" w14:textId="141B4C31" w:rsidR="004A3B54" w:rsidRPr="00C445BB" w:rsidRDefault="004A3B54" w:rsidP="004A3B54">
      <w:pPr>
        <w:keepNext/>
        <w:keepLines/>
        <w:pageBreakBefore/>
        <w:spacing w:before="240" w:after="0" w:line="256" w:lineRule="auto"/>
        <w:jc w:val="both"/>
        <w:outlineLvl w:val="0"/>
        <w:rPr>
          <w:rFonts w:ascii="Calibri Light" w:eastAsia="Times New Roman" w:hAnsi="Calibri Light" w:cs="Times New Roman"/>
          <w:bCs/>
          <w:color w:val="2F5496"/>
          <w:sz w:val="32"/>
          <w:szCs w:val="32"/>
        </w:rPr>
      </w:pPr>
      <w:bookmarkStart w:id="52" w:name="_Toc215830719"/>
      <w:bookmarkStart w:id="53" w:name="_Toc230677719"/>
      <w:r w:rsidRPr="00C445BB">
        <w:rPr>
          <w:rFonts w:ascii="Century Gothic" w:eastAsia="Times New Roman" w:hAnsi="Century Gothic" w:cs="Calibri"/>
          <w:bCs/>
          <w:color w:val="2F5496"/>
          <w:sz w:val="32"/>
          <w:szCs w:val="32"/>
        </w:rPr>
        <w:lastRenderedPageBreak/>
        <w:t xml:space="preserve">ANEXO II </w:t>
      </w:r>
      <w:r w:rsidR="001B45CF">
        <w:rPr>
          <w:rFonts w:ascii="Century Gothic" w:eastAsia="Times New Roman" w:hAnsi="Century Gothic" w:cs="Calibri"/>
          <w:bCs/>
          <w:color w:val="2F5496"/>
          <w:sz w:val="32"/>
          <w:szCs w:val="32"/>
        </w:rPr>
        <w:t xml:space="preserve">MODALIDAD </w:t>
      </w:r>
      <w:r w:rsidRPr="00C445BB">
        <w:rPr>
          <w:rFonts w:ascii="Century Gothic" w:eastAsia="Times New Roman" w:hAnsi="Century Gothic" w:cs="Calibri"/>
          <w:bCs/>
          <w:color w:val="2F5496"/>
          <w:sz w:val="32"/>
          <w:szCs w:val="32"/>
        </w:rPr>
        <w:t>PTS: DOCUMENTACIÓN A PRESENTAR</w:t>
      </w:r>
      <w:bookmarkEnd w:id="53"/>
      <w:r w:rsidRPr="00C445BB">
        <w:rPr>
          <w:rFonts w:ascii="Century Gothic" w:eastAsia="Times New Roman" w:hAnsi="Century Gothic" w:cs="Calibri"/>
          <w:bCs/>
          <w:color w:val="2F5496"/>
          <w:sz w:val="32"/>
          <w:szCs w:val="32"/>
        </w:rPr>
        <w:t xml:space="preserve"> </w:t>
      </w:r>
      <w:bookmarkEnd w:id="52"/>
    </w:p>
    <w:p w14:paraId="1CC5EF27" w14:textId="77777777" w:rsidR="004A3B54" w:rsidRPr="00DA6C2E" w:rsidRDefault="004A3B54" w:rsidP="004A3B54">
      <w:pPr>
        <w:spacing w:line="256" w:lineRule="auto"/>
        <w:jc w:val="both"/>
        <w:rPr>
          <w:rFonts w:ascii="Century Gothic" w:eastAsia="Calibri" w:hAnsi="Century Gothic" w:cs="Arial"/>
        </w:rPr>
      </w:pPr>
    </w:p>
    <w:p w14:paraId="7074780B" w14:textId="77777777" w:rsidR="004A3B54" w:rsidRPr="00DA6C2E" w:rsidRDefault="004A3B54" w:rsidP="006965D8">
      <w:pPr>
        <w:numPr>
          <w:ilvl w:val="0"/>
          <w:numId w:val="61"/>
        </w:numPr>
        <w:spacing w:line="256" w:lineRule="auto"/>
        <w:contextualSpacing/>
        <w:jc w:val="both"/>
        <w:rPr>
          <w:rFonts w:ascii="Century Gothic" w:eastAsia="Calibri" w:hAnsi="Century Gothic" w:cs="Arial"/>
          <w:b/>
          <w:bCs/>
          <w:sz w:val="28"/>
          <w:szCs w:val="28"/>
        </w:rPr>
      </w:pPr>
      <w:r w:rsidRPr="00DA6C2E">
        <w:rPr>
          <w:rFonts w:ascii="Century Gothic" w:eastAsia="Calibri" w:hAnsi="Century Gothic" w:cs="Arial"/>
          <w:b/>
          <w:bCs/>
          <w:sz w:val="28"/>
          <w:szCs w:val="28"/>
        </w:rPr>
        <w:t xml:space="preserve">DOCUMENTACIÓN PARA LA SOLICITUD DE UNA AUTORIZACIÓN (TÍTULO HABILITANTE </w:t>
      </w:r>
      <w:r>
        <w:rPr>
          <w:rFonts w:ascii="Century Gothic" w:eastAsia="Calibri" w:hAnsi="Century Gothic" w:cs="Arial"/>
          <w:b/>
          <w:bCs/>
          <w:sz w:val="28"/>
          <w:szCs w:val="28"/>
        </w:rPr>
        <w:t xml:space="preserve">DE SERVICIO COMERCIAL </w:t>
      </w:r>
      <w:r w:rsidRPr="00DA6C2E">
        <w:rPr>
          <w:rFonts w:ascii="Century Gothic" w:eastAsia="Calibri" w:hAnsi="Century Gothic" w:cs="Arial"/>
          <w:b/>
          <w:bCs/>
          <w:sz w:val="28"/>
          <w:szCs w:val="28"/>
        </w:rPr>
        <w:t>CONFORME AL ARTÍCULO 139 DEL TRLPEMM)</w:t>
      </w:r>
      <w:r>
        <w:rPr>
          <w:rFonts w:ascii="Century Gothic" w:eastAsia="Calibri" w:hAnsi="Century Gothic" w:cs="Arial"/>
          <w:b/>
          <w:bCs/>
          <w:sz w:val="28"/>
          <w:szCs w:val="28"/>
        </w:rPr>
        <w:t>-PTS</w:t>
      </w:r>
    </w:p>
    <w:p w14:paraId="3F2E25C6" w14:textId="77777777" w:rsidR="004A3B54" w:rsidRDefault="004A3B54" w:rsidP="004A3B54">
      <w:pPr>
        <w:spacing w:line="256" w:lineRule="auto"/>
        <w:jc w:val="both"/>
        <w:rPr>
          <w:rFonts w:ascii="Century Gothic" w:eastAsia="Calibri" w:hAnsi="Century Gothic" w:cs="Arial"/>
        </w:rPr>
      </w:pPr>
    </w:p>
    <w:p w14:paraId="686BE66F" w14:textId="77777777" w:rsidR="004A3B54" w:rsidRPr="00DA6C2E" w:rsidRDefault="004A3B54" w:rsidP="004A3B54">
      <w:pPr>
        <w:spacing w:line="256" w:lineRule="auto"/>
        <w:jc w:val="both"/>
        <w:rPr>
          <w:rFonts w:ascii="Century Gothic" w:eastAsia="Calibri" w:hAnsi="Century Gothic" w:cs="Arial"/>
        </w:rPr>
      </w:pPr>
      <w:r w:rsidRPr="00DA6C2E">
        <w:rPr>
          <w:rFonts w:ascii="Century Gothic" w:eastAsia="Calibri" w:hAnsi="Century Gothic" w:cs="Arial"/>
        </w:rPr>
        <w:t xml:space="preserve">Para que la Autoridad Portuaria resuelva sobre el otorgamiento de una autorización (título habilitante) para la prestación del servicio objeto de este PCP, el interesado deberá formular una solicitud que contendrá los datos señalados en el artículo 66.1 de la Ley 39/2015, de 1 de octubre, de Procedimiento Administrativo Común de las Administraciones Públicas, e irá acompañada de la siguiente documentación: </w:t>
      </w:r>
    </w:p>
    <w:p w14:paraId="0E74116F" w14:textId="77777777" w:rsidR="004A3B54" w:rsidRPr="00DA6C2E" w:rsidRDefault="004A3B54" w:rsidP="004A3B54">
      <w:pPr>
        <w:spacing w:line="256" w:lineRule="auto"/>
        <w:jc w:val="both"/>
        <w:rPr>
          <w:rFonts w:ascii="Century Gothic" w:eastAsia="Calibri" w:hAnsi="Century Gothic" w:cs="Arial"/>
        </w:rPr>
      </w:pPr>
    </w:p>
    <w:p w14:paraId="15CD9263" w14:textId="77777777" w:rsidR="004A3B54" w:rsidRPr="00DA6C2E" w:rsidRDefault="004A3B54" w:rsidP="004A3B54">
      <w:pPr>
        <w:spacing w:line="256" w:lineRule="auto"/>
        <w:jc w:val="both"/>
        <w:rPr>
          <w:rFonts w:ascii="Century Gothic" w:eastAsia="Calibri" w:hAnsi="Century Gothic" w:cs="Arial"/>
          <w:b/>
          <w:bCs/>
        </w:rPr>
      </w:pPr>
      <w:r w:rsidRPr="00DA6C2E">
        <w:rPr>
          <w:rFonts w:ascii="Century Gothic" w:eastAsia="Calibri" w:hAnsi="Century Gothic" w:cs="Arial"/>
          <w:b/>
          <w:bCs/>
        </w:rPr>
        <w:t>A. De carácter administrativo</w:t>
      </w:r>
    </w:p>
    <w:p w14:paraId="0A75A940" w14:textId="77777777" w:rsidR="004A3B54" w:rsidRDefault="004A3B54" w:rsidP="004A3B54">
      <w:pPr>
        <w:spacing w:line="256" w:lineRule="auto"/>
        <w:ind w:left="720"/>
        <w:jc w:val="both"/>
        <w:rPr>
          <w:rFonts w:ascii="Century Gothic" w:eastAsia="Calibri" w:hAnsi="Century Gothic" w:cs="Arial"/>
        </w:rPr>
      </w:pPr>
      <w:r w:rsidRPr="00CB2F27">
        <w:rPr>
          <w:rFonts w:ascii="Century Gothic" w:eastAsia="Calibri" w:hAnsi="Century Gothic" w:cs="Arial"/>
        </w:rPr>
        <w:t xml:space="preserve">A.1 Escrito de solicitud, dirigido a la Autoridad Portuaria de </w:t>
      </w:r>
      <w:r w:rsidRPr="00CB2F27">
        <w:rPr>
          <w:rFonts w:ascii="Century Gothic" w:eastAsia="Calibri" w:hAnsi="Century Gothic" w:cs="Arial"/>
          <w:color w:val="ED0000"/>
        </w:rPr>
        <w:t>XXX,</w:t>
      </w:r>
      <w:r w:rsidRPr="00CB2F27">
        <w:rPr>
          <w:rFonts w:ascii="Century Gothic" w:eastAsia="Calibri" w:hAnsi="Century Gothic" w:cs="Arial"/>
        </w:rPr>
        <w:t xml:space="preserve"> donde se indique la modalidad de suministro </w:t>
      </w:r>
      <w:r>
        <w:rPr>
          <w:rFonts w:ascii="Century Gothic" w:eastAsia="Calibri" w:hAnsi="Century Gothic" w:cs="Arial"/>
        </w:rPr>
        <w:t>P</w:t>
      </w:r>
      <w:r w:rsidRPr="00CB2F27">
        <w:rPr>
          <w:rFonts w:ascii="Century Gothic" w:eastAsia="Calibri" w:hAnsi="Century Gothic" w:cs="Arial"/>
        </w:rPr>
        <w:t>TS</w:t>
      </w:r>
      <w:r>
        <w:rPr>
          <w:rFonts w:ascii="Century Gothic" w:eastAsia="Calibri" w:hAnsi="Century Gothic" w:cs="Arial"/>
        </w:rPr>
        <w:t xml:space="preserve">, indicando </w:t>
      </w:r>
      <w:r w:rsidRPr="00CB2F27">
        <w:rPr>
          <w:rFonts w:ascii="Century Gothic" w:eastAsia="Calibri" w:hAnsi="Century Gothic" w:cs="Arial"/>
        </w:rPr>
        <w:t>el nombre de la persona física o jurídica, el NIF y domicilio</w:t>
      </w:r>
      <w:r>
        <w:rPr>
          <w:rFonts w:ascii="Century Gothic" w:eastAsia="Calibri" w:hAnsi="Century Gothic" w:cs="Arial"/>
        </w:rPr>
        <w:t>.</w:t>
      </w:r>
    </w:p>
    <w:p w14:paraId="5EEAA216" w14:textId="77777777" w:rsidR="004A3B54" w:rsidRPr="00CB2F27" w:rsidRDefault="004A3B54" w:rsidP="004A3B54">
      <w:pPr>
        <w:pStyle w:val="Prrafodelista"/>
        <w:spacing w:line="256" w:lineRule="auto"/>
        <w:ind w:left="709"/>
        <w:jc w:val="both"/>
        <w:rPr>
          <w:rFonts w:ascii="Century Gothic" w:eastAsia="Calibri" w:hAnsi="Century Gothic" w:cs="Arial"/>
        </w:rPr>
      </w:pPr>
      <w:r>
        <w:rPr>
          <w:rFonts w:ascii="Century Gothic" w:eastAsia="Calibri" w:hAnsi="Century Gothic" w:cs="Arial"/>
        </w:rPr>
        <w:t xml:space="preserve">A.2 </w:t>
      </w:r>
      <w:r w:rsidRPr="00CB2F27">
        <w:rPr>
          <w:rFonts w:ascii="Century Gothic" w:eastAsia="Calibri" w:hAnsi="Century Gothic" w:cs="Arial"/>
        </w:rPr>
        <w:t xml:space="preserve">Documentación acreditativa de la </w:t>
      </w:r>
      <w:r w:rsidRPr="00CB2F27">
        <w:rPr>
          <w:rFonts w:ascii="Century Gothic" w:eastAsia="Calibri" w:hAnsi="Century Gothic" w:cs="Arial"/>
          <w:b/>
          <w:bCs/>
        </w:rPr>
        <w:t xml:space="preserve">capacidad de obrar </w:t>
      </w:r>
      <w:r w:rsidRPr="00CB2F27">
        <w:rPr>
          <w:rFonts w:ascii="Century Gothic" w:eastAsia="Calibri" w:hAnsi="Century Gothic" w:cs="Arial"/>
        </w:rPr>
        <w:t>del solicitante:</w:t>
      </w:r>
    </w:p>
    <w:p w14:paraId="6A591BC7" w14:textId="77777777" w:rsidR="004A3B54" w:rsidRPr="00DA6C2E" w:rsidRDefault="004A3B54" w:rsidP="004A3B54">
      <w:pPr>
        <w:spacing w:line="256" w:lineRule="auto"/>
        <w:ind w:left="709"/>
        <w:jc w:val="both"/>
        <w:rPr>
          <w:rFonts w:ascii="Century Gothic" w:eastAsia="Calibri" w:hAnsi="Century Gothic" w:cs="Arial"/>
        </w:rPr>
      </w:pPr>
      <w:r w:rsidRPr="00DA6C2E">
        <w:rPr>
          <w:rFonts w:ascii="Century Gothic" w:eastAsia="Calibri" w:hAnsi="Century Gothic" w:cs="Arial"/>
        </w:rPr>
        <w:t xml:space="preserve">Si se trata de una persona física, documento nacional de identidad o, en el supuesto de ciudadanos extranjeros, el documento equivalente. </w:t>
      </w:r>
    </w:p>
    <w:p w14:paraId="778B8FCF" w14:textId="77777777" w:rsidR="004A3B54" w:rsidRPr="00DA6C2E" w:rsidRDefault="004A3B54" w:rsidP="004A3B54">
      <w:pPr>
        <w:spacing w:line="256" w:lineRule="auto"/>
        <w:ind w:left="709"/>
        <w:jc w:val="both"/>
        <w:rPr>
          <w:rFonts w:ascii="Century Gothic" w:eastAsia="Calibri" w:hAnsi="Century Gothic" w:cs="Arial"/>
        </w:rPr>
      </w:pPr>
      <w:r w:rsidRPr="00DA6C2E">
        <w:rPr>
          <w:rFonts w:ascii="Century Gothic" w:eastAsia="Calibri" w:hAnsi="Century Gothic" w:cs="Arial"/>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4018F554" w14:textId="77777777" w:rsidR="004A3B54" w:rsidRPr="00DA6C2E" w:rsidRDefault="004A3B54" w:rsidP="004A3B54">
      <w:pPr>
        <w:spacing w:line="256" w:lineRule="auto"/>
        <w:ind w:left="709"/>
        <w:jc w:val="both"/>
        <w:rPr>
          <w:rFonts w:ascii="Century Gothic" w:eastAsia="Calibri" w:hAnsi="Century Gothic" w:cs="Arial"/>
        </w:rPr>
      </w:pPr>
      <w:r w:rsidRPr="00DA6C2E">
        <w:rPr>
          <w:rFonts w:ascii="Century Gothic" w:eastAsia="Calibri" w:hAnsi="Century Gothic" w:cs="Arial"/>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18887E8B" w14:textId="77777777" w:rsidR="004A3B54" w:rsidRPr="00DA6C2E" w:rsidRDefault="004A3B54" w:rsidP="004A3B54">
      <w:pPr>
        <w:spacing w:line="256" w:lineRule="auto"/>
        <w:ind w:left="709"/>
        <w:jc w:val="both"/>
        <w:rPr>
          <w:rFonts w:ascii="Century Gothic" w:eastAsia="Calibri" w:hAnsi="Century Gothic" w:cs="Arial"/>
        </w:rPr>
      </w:pPr>
      <w:r w:rsidRPr="00DA6C2E">
        <w:rPr>
          <w:rFonts w:ascii="Century Gothic" w:eastAsia="Calibri" w:hAnsi="Century Gothic" w:cs="Arial"/>
        </w:rPr>
        <w:t xml:space="preserve">Si los documentos aportados no están otorgados en España (por ser documentos que acrediten la existencia y personalidad de una entidad extranjera, su inscripción en el registro procedente, etc.), los mismos deben ir acompañados de traducción oficial al castellano realizada por un traductor jurado o a través de representaciones consulares o diplomáticas, y también deben ir acompañados de una certificación de autenticidad mediante </w:t>
      </w:r>
      <w:r w:rsidRPr="00DA6C2E">
        <w:rPr>
          <w:rFonts w:ascii="Century Gothic" w:eastAsia="Calibri" w:hAnsi="Century Gothic" w:cs="Arial"/>
        </w:rPr>
        <w:lastRenderedPageBreak/>
        <w:t xml:space="preserve">copias legalizadas, por la representación diplomática correspondiente o mediante apostilla de La Haya. </w:t>
      </w:r>
    </w:p>
    <w:p w14:paraId="476B6AF8" w14:textId="77777777" w:rsidR="004A3B54" w:rsidRPr="00DA6C2E" w:rsidRDefault="004A3B54" w:rsidP="006965D8">
      <w:pPr>
        <w:numPr>
          <w:ilvl w:val="0"/>
          <w:numId w:val="53"/>
        </w:numPr>
        <w:spacing w:line="256" w:lineRule="auto"/>
        <w:ind w:left="1080"/>
        <w:jc w:val="both"/>
        <w:rPr>
          <w:rFonts w:ascii="Century Gothic" w:eastAsia="Calibri" w:hAnsi="Century Gothic" w:cs="Arial"/>
        </w:rPr>
      </w:pPr>
      <w:r w:rsidRPr="00DA6C2E">
        <w:rPr>
          <w:rFonts w:ascii="Century Gothic" w:eastAsia="Calibri" w:hAnsi="Century Gothic" w:cs="Arial"/>
        </w:rPr>
        <w:t xml:space="preserve">Documentos que </w:t>
      </w:r>
      <w:r w:rsidRPr="00DA6C2E">
        <w:rPr>
          <w:rFonts w:ascii="Century Gothic" w:eastAsia="Calibri" w:hAnsi="Century Gothic" w:cs="Arial"/>
          <w:b/>
          <w:bCs/>
        </w:rPr>
        <w:t>acrediten la representación</w:t>
      </w:r>
      <w:r w:rsidRPr="00DA6C2E">
        <w:rPr>
          <w:rFonts w:ascii="Century Gothic" w:eastAsia="Calibri" w:hAnsi="Century Gothic" w:cs="Arial"/>
        </w:rPr>
        <w:t xml:space="preserve">. 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 </w:t>
      </w:r>
    </w:p>
    <w:p w14:paraId="7EF38914" w14:textId="77777777" w:rsidR="004A3B54" w:rsidRPr="00DA6C2E" w:rsidRDefault="004A3B54" w:rsidP="006965D8">
      <w:pPr>
        <w:numPr>
          <w:ilvl w:val="0"/>
          <w:numId w:val="53"/>
        </w:numPr>
        <w:spacing w:line="256" w:lineRule="auto"/>
        <w:ind w:left="1080"/>
        <w:jc w:val="both"/>
        <w:rPr>
          <w:rFonts w:ascii="Century Gothic" w:eastAsia="Calibri" w:hAnsi="Century Gothic" w:cs="Arial"/>
        </w:rPr>
      </w:pPr>
      <w:r w:rsidRPr="00DA6C2E">
        <w:rPr>
          <w:rFonts w:ascii="Century Gothic" w:eastAsia="Calibri" w:hAnsi="Century Gothic" w:cs="Arial"/>
          <w:b/>
          <w:bCs/>
        </w:rPr>
        <w:t>Designación de un representante</w:t>
      </w:r>
      <w:r w:rsidRPr="00DA6C2E">
        <w:rPr>
          <w:rFonts w:ascii="Century Gothic" w:eastAsia="Calibri" w:hAnsi="Century Gothic" w:cs="Arial"/>
        </w:rPr>
        <w:t xml:space="preserve">, con facultades suficientes y con oficina en </w:t>
      </w:r>
      <w:r w:rsidRPr="00DA6C2E">
        <w:rPr>
          <w:rFonts w:ascii="Century Gothic" w:eastAsia="Calibri" w:hAnsi="Century Gothic" w:cs="Arial"/>
          <w:color w:val="FF0000"/>
        </w:rPr>
        <w:t>XXXXX</w:t>
      </w:r>
      <w:r w:rsidRPr="00DA6C2E">
        <w:rPr>
          <w:rFonts w:ascii="Century Gothic" w:eastAsia="Calibri" w:hAnsi="Century Gothic" w:cs="Arial"/>
        </w:rPr>
        <w:t xml:space="preserve">, a los efectos de establecer una comunicación regular con la Autoridad Portuaria. </w:t>
      </w:r>
    </w:p>
    <w:p w14:paraId="5FDEAE10" w14:textId="77777777" w:rsidR="004A3B54" w:rsidRPr="00DA6C2E" w:rsidRDefault="004A3B54" w:rsidP="006965D8">
      <w:pPr>
        <w:numPr>
          <w:ilvl w:val="0"/>
          <w:numId w:val="53"/>
        </w:numPr>
        <w:spacing w:line="256" w:lineRule="auto"/>
        <w:ind w:left="1080"/>
        <w:jc w:val="both"/>
        <w:rPr>
          <w:rFonts w:ascii="Century Gothic" w:eastAsia="Calibri" w:hAnsi="Century Gothic" w:cs="Arial"/>
        </w:rPr>
      </w:pPr>
      <w:r w:rsidRPr="00DA6C2E">
        <w:rPr>
          <w:rFonts w:ascii="Century Gothic" w:eastAsia="Calibri" w:hAnsi="Century Gothic" w:cs="Arial"/>
        </w:rPr>
        <w:t xml:space="preserve">Sendas certificaciones acreditativas del cumplimiento de las obligaciones de carácter </w:t>
      </w:r>
      <w:r w:rsidRPr="00DA6C2E">
        <w:rPr>
          <w:rFonts w:ascii="Century Gothic" w:eastAsia="Calibri" w:hAnsi="Century Gothic" w:cs="Arial"/>
          <w:b/>
          <w:bCs/>
        </w:rPr>
        <w:t xml:space="preserve">fiscal y laboral por la Administración Tributaria y de la Seguridad Social. </w:t>
      </w:r>
    </w:p>
    <w:p w14:paraId="7CC887EE" w14:textId="77777777" w:rsidR="004A3B54" w:rsidRPr="00DA6C2E" w:rsidRDefault="004A3B54" w:rsidP="006965D8">
      <w:pPr>
        <w:numPr>
          <w:ilvl w:val="0"/>
          <w:numId w:val="53"/>
        </w:numPr>
        <w:spacing w:line="256" w:lineRule="auto"/>
        <w:ind w:left="1080"/>
        <w:jc w:val="both"/>
        <w:rPr>
          <w:rFonts w:ascii="Century Gothic" w:eastAsia="Calibri" w:hAnsi="Century Gothic" w:cs="Arial"/>
        </w:rPr>
      </w:pPr>
      <w:r w:rsidRPr="00DA6C2E">
        <w:rPr>
          <w:rFonts w:ascii="Century Gothic" w:eastAsia="Calibri" w:hAnsi="Century Gothic" w:cs="Arial"/>
        </w:rPr>
        <w:t xml:space="preserve">Declaración responsable de </w:t>
      </w:r>
      <w:r w:rsidRPr="00DA6C2E">
        <w:rPr>
          <w:rFonts w:ascii="Century Gothic" w:eastAsia="Calibri" w:hAnsi="Century Gothic" w:cs="Arial"/>
          <w:b/>
          <w:bCs/>
        </w:rPr>
        <w:t>cumplir y mantener</w:t>
      </w:r>
      <w:r w:rsidRPr="00DA6C2E">
        <w:rPr>
          <w:rFonts w:ascii="Century Gothic" w:eastAsia="Calibri" w:hAnsi="Century Gothic" w:cs="Arial"/>
        </w:rPr>
        <w:t xml:space="preserve"> a lo largo de la vigencia de la autorización, los requisitos y condiciones exigidas en el </w:t>
      </w:r>
      <w:r w:rsidRPr="00DA6C2E">
        <w:rPr>
          <w:rFonts w:ascii="Century Gothic" w:eastAsia="Calibri" w:hAnsi="Century Gothic" w:cs="Arial"/>
          <w:b/>
          <w:bCs/>
        </w:rPr>
        <w:t>Reglamento UE 2017/352, el TRLPEMM, el PCP</w:t>
      </w:r>
      <w:r w:rsidRPr="00DA6C2E">
        <w:rPr>
          <w:rFonts w:ascii="Century Gothic" w:eastAsia="Calibri" w:hAnsi="Century Gothic" w:cs="Arial"/>
        </w:rPr>
        <w:t xml:space="preserve"> y </w:t>
      </w:r>
      <w:r w:rsidRPr="00DA6C2E">
        <w:rPr>
          <w:rFonts w:ascii="Century Gothic" w:eastAsia="Calibri" w:hAnsi="Century Gothic" w:cs="Arial"/>
          <w:b/>
          <w:bCs/>
        </w:rPr>
        <w:t>en la autorización</w:t>
      </w:r>
      <w:r w:rsidRPr="00DA6C2E">
        <w:rPr>
          <w:rFonts w:ascii="Century Gothic" w:eastAsia="Calibri" w:hAnsi="Century Gothic" w:cs="Arial"/>
        </w:rPr>
        <w:t xml:space="preserve"> de servicio. </w:t>
      </w:r>
    </w:p>
    <w:p w14:paraId="3413B9C9" w14:textId="77777777" w:rsidR="004A3B54" w:rsidRPr="00DA6C2E" w:rsidRDefault="004A3B54" w:rsidP="006965D8">
      <w:pPr>
        <w:numPr>
          <w:ilvl w:val="0"/>
          <w:numId w:val="53"/>
        </w:numPr>
        <w:spacing w:line="256" w:lineRule="auto"/>
        <w:ind w:left="1080"/>
        <w:jc w:val="both"/>
        <w:rPr>
          <w:rFonts w:ascii="Century Gothic" w:eastAsia="Calibri" w:hAnsi="Century Gothic" w:cs="Times New Roman"/>
          <w:b/>
          <w:i/>
        </w:rPr>
      </w:pPr>
      <w:r w:rsidRPr="00DA6C2E">
        <w:rPr>
          <w:rFonts w:ascii="Century Gothic" w:eastAsia="Calibri" w:hAnsi="Century Gothic" w:cs="Times New Roman"/>
        </w:rPr>
        <w:t xml:space="preserve">Declaración responsable de disponer, </w:t>
      </w:r>
      <w:r w:rsidRPr="00DA6C2E">
        <w:rPr>
          <w:rFonts w:ascii="Century Gothic" w:eastAsia="Calibri" w:hAnsi="Century Gothic" w:cs="Arial"/>
        </w:rPr>
        <w:t>y mantener a lo largo de la vigencia de la autorización,</w:t>
      </w:r>
      <w:r w:rsidRPr="00DA6C2E">
        <w:rPr>
          <w:rFonts w:ascii="Century Gothic" w:eastAsia="Calibri" w:hAnsi="Century Gothic" w:cs="Times New Roman"/>
        </w:rPr>
        <w:t xml:space="preserve"> de los</w:t>
      </w:r>
      <w:r w:rsidRPr="00DA6C2E">
        <w:rPr>
          <w:rFonts w:ascii="Century Gothic" w:eastAsia="Calibri" w:hAnsi="Century Gothic" w:cs="Times New Roman"/>
          <w:b/>
        </w:rPr>
        <w:t xml:space="preserve"> permisos, autorizaciones y licencias</w:t>
      </w:r>
      <w:r w:rsidRPr="00DA6C2E">
        <w:rPr>
          <w:rFonts w:ascii="Century Gothic" w:eastAsia="Calibri" w:hAnsi="Century Gothic" w:cs="Times New Roman"/>
        </w:rPr>
        <w:t xml:space="preserve"> legalmente exigibles para el ejercicio de la actividad. </w:t>
      </w:r>
    </w:p>
    <w:p w14:paraId="73CB2577" w14:textId="77777777" w:rsidR="004A3B54" w:rsidRPr="00DA6C2E" w:rsidRDefault="004A3B54" w:rsidP="006965D8">
      <w:pPr>
        <w:numPr>
          <w:ilvl w:val="0"/>
          <w:numId w:val="53"/>
        </w:numPr>
        <w:spacing w:line="256" w:lineRule="auto"/>
        <w:ind w:left="1080"/>
        <w:jc w:val="both"/>
        <w:rPr>
          <w:rFonts w:ascii="Century Gothic" w:eastAsia="Calibri" w:hAnsi="Century Gothic" w:cs="Arial"/>
        </w:rPr>
      </w:pPr>
      <w:r w:rsidRPr="00DA6C2E">
        <w:rPr>
          <w:rFonts w:ascii="Century Gothic" w:eastAsia="Calibri" w:hAnsi="Century Gothic" w:cs="Arial"/>
        </w:rPr>
        <w:t>Declaración de someterse a la jurisdicción de los Juzgados y Tribunales españoles de cualquier orden para todas las incidencias que, de modo directo o indirecto, pudieran surgir de la autorización concedida, con renuncia, en su caso, al fuero jurisdiccional extranjero que pudiera corresponder al solicitante. Los solicitantes españoles no deberán presentar tal declaración.</w:t>
      </w:r>
    </w:p>
    <w:p w14:paraId="53693114" w14:textId="77777777" w:rsidR="004A3B54" w:rsidRPr="00DA6C2E" w:rsidRDefault="004A3B54" w:rsidP="004A3B54">
      <w:pPr>
        <w:spacing w:line="256" w:lineRule="auto"/>
        <w:ind w:left="720"/>
        <w:jc w:val="both"/>
        <w:rPr>
          <w:rFonts w:ascii="Century Gothic" w:eastAsia="Calibri" w:hAnsi="Century Gothic" w:cs="Arial"/>
        </w:rPr>
      </w:pPr>
    </w:p>
    <w:p w14:paraId="058CA702" w14:textId="77777777" w:rsidR="004A3B54" w:rsidRPr="00DA6C2E" w:rsidRDefault="004A3B54" w:rsidP="004A3B54">
      <w:pPr>
        <w:spacing w:line="256" w:lineRule="auto"/>
        <w:jc w:val="both"/>
        <w:rPr>
          <w:rFonts w:ascii="Century Gothic" w:eastAsia="Calibri" w:hAnsi="Century Gothic" w:cs="Arial"/>
        </w:rPr>
      </w:pPr>
      <w:r w:rsidRPr="00DA6C2E">
        <w:rPr>
          <w:rFonts w:ascii="Century Gothic" w:eastAsia="Calibri" w:hAnsi="Century Gothic" w:cs="Arial"/>
          <w:b/>
          <w:bCs/>
        </w:rPr>
        <w:t>B. De carácter económico-financiero</w:t>
      </w:r>
    </w:p>
    <w:p w14:paraId="7FEFA9ED" w14:textId="77777777" w:rsidR="004A3B54" w:rsidRPr="00DA6C2E" w:rsidRDefault="004A3B54" w:rsidP="006965D8">
      <w:pPr>
        <w:numPr>
          <w:ilvl w:val="0"/>
          <w:numId w:val="54"/>
        </w:numPr>
        <w:spacing w:line="256" w:lineRule="auto"/>
        <w:ind w:left="720"/>
        <w:jc w:val="both"/>
        <w:rPr>
          <w:rFonts w:ascii="Century Gothic" w:eastAsia="Calibri" w:hAnsi="Century Gothic" w:cs="Arial"/>
        </w:rPr>
      </w:pPr>
      <w:r w:rsidRPr="00DA6C2E">
        <w:rPr>
          <w:rFonts w:ascii="Century Gothic" w:eastAsia="Calibri" w:hAnsi="Century Gothic" w:cs="Arial"/>
        </w:rPr>
        <w:t>Declaración responsable de constituir, antes del inicio de la actividad, la</w:t>
      </w:r>
      <w:r w:rsidRPr="00DA6C2E">
        <w:rPr>
          <w:rFonts w:ascii="Century Gothic" w:eastAsia="Calibri" w:hAnsi="Century Gothic" w:cs="Arial"/>
          <w:b/>
          <w:bCs/>
        </w:rPr>
        <w:t xml:space="preserve"> </w:t>
      </w:r>
      <w:r w:rsidRPr="00DA6C2E">
        <w:rPr>
          <w:rFonts w:ascii="Century Gothic" w:eastAsia="Calibri" w:hAnsi="Century Gothic" w:cs="Arial"/>
          <w:bCs/>
        </w:rPr>
        <w:t>garantía</w:t>
      </w:r>
      <w:r w:rsidRPr="00DA6C2E">
        <w:rPr>
          <w:rFonts w:ascii="Century Gothic" w:eastAsia="Calibri" w:hAnsi="Century Gothic" w:cs="Arial"/>
          <w:b/>
          <w:bCs/>
        </w:rPr>
        <w:t xml:space="preserve"> </w:t>
      </w:r>
      <w:r w:rsidRPr="00DA6C2E">
        <w:rPr>
          <w:rFonts w:ascii="Century Gothic" w:eastAsia="Calibri" w:hAnsi="Century Gothic" w:cs="Arial"/>
        </w:rPr>
        <w:t>exigida en la Condición 8ª y de presentar la documentación acreditativa una vez constituida.</w:t>
      </w:r>
    </w:p>
    <w:p w14:paraId="2856DDC3" w14:textId="77777777" w:rsidR="004A3B54" w:rsidRPr="00DA6C2E" w:rsidRDefault="004A3B54" w:rsidP="006965D8">
      <w:pPr>
        <w:numPr>
          <w:ilvl w:val="0"/>
          <w:numId w:val="54"/>
        </w:numPr>
        <w:spacing w:line="256" w:lineRule="auto"/>
        <w:ind w:left="720"/>
        <w:jc w:val="both"/>
        <w:rPr>
          <w:rFonts w:ascii="Century Gothic" w:eastAsia="Calibri" w:hAnsi="Century Gothic" w:cs="Arial"/>
        </w:rPr>
      </w:pPr>
      <w:r w:rsidRPr="00DA6C2E">
        <w:rPr>
          <w:rFonts w:ascii="Century Gothic" w:eastAsia="Calibri" w:hAnsi="Century Gothic" w:cs="Arial"/>
        </w:rPr>
        <w:t xml:space="preserve">Declaración responsable de contratar, </w:t>
      </w:r>
      <w:r w:rsidRPr="00DA6C2E">
        <w:rPr>
          <w:rFonts w:ascii="Century Gothic" w:eastAsia="Calibri" w:hAnsi="Century Gothic" w:cs="Arial"/>
          <w:bCs/>
        </w:rPr>
        <w:t>antes del inicio de la actividad,</w:t>
      </w:r>
      <w:r w:rsidRPr="00DA6C2E">
        <w:rPr>
          <w:rFonts w:ascii="Century Gothic" w:eastAsia="Calibri" w:hAnsi="Century Gothic" w:cs="Arial"/>
          <w:b/>
          <w:bCs/>
        </w:rPr>
        <w:t xml:space="preserve"> </w:t>
      </w:r>
      <w:r w:rsidRPr="00DA6C2E">
        <w:rPr>
          <w:rFonts w:ascii="Century Gothic" w:eastAsia="Calibri" w:hAnsi="Century Gothic" w:cs="Arial"/>
        </w:rPr>
        <w:t xml:space="preserve">un </w:t>
      </w:r>
      <w:r w:rsidRPr="00DA6C2E">
        <w:rPr>
          <w:rFonts w:ascii="Century Gothic" w:eastAsia="Calibri" w:hAnsi="Century Gothic" w:cs="Arial"/>
          <w:b/>
          <w:bCs/>
        </w:rPr>
        <w:t xml:space="preserve">seguro de responsabilidad civil </w:t>
      </w:r>
      <w:r w:rsidRPr="00DA6C2E">
        <w:rPr>
          <w:rFonts w:ascii="Century Gothic" w:eastAsia="Calibri" w:hAnsi="Century Gothic" w:cs="Arial"/>
        </w:rPr>
        <w:t xml:space="preserve">que cubra los riesgos propios de la prestación del servicio por la cantidad mínima establecida en la Condición 6ª y de presentar la documentación acreditativa una vez contratado. </w:t>
      </w:r>
    </w:p>
    <w:p w14:paraId="278654A3" w14:textId="77777777" w:rsidR="004A3B54" w:rsidRPr="00DA6C2E" w:rsidRDefault="004A3B54" w:rsidP="006965D8">
      <w:pPr>
        <w:numPr>
          <w:ilvl w:val="0"/>
          <w:numId w:val="54"/>
        </w:numPr>
        <w:spacing w:line="256" w:lineRule="auto"/>
        <w:ind w:left="720"/>
        <w:jc w:val="both"/>
        <w:rPr>
          <w:rFonts w:ascii="Century Gothic" w:eastAsia="Calibri" w:hAnsi="Century Gothic" w:cs="Times New Roman"/>
          <w:b/>
        </w:rPr>
      </w:pPr>
      <w:r w:rsidRPr="00DA6C2E">
        <w:rPr>
          <w:rFonts w:ascii="Century Gothic" w:eastAsia="Calibri" w:hAnsi="Century Gothic" w:cs="Arial"/>
        </w:rPr>
        <w:t xml:space="preserve">Declaración responsable </w:t>
      </w:r>
      <w:r w:rsidRPr="00DA6C2E">
        <w:rPr>
          <w:rFonts w:ascii="Century Gothic" w:eastAsia="Calibri" w:hAnsi="Century Gothic" w:cs="Arial"/>
          <w:bCs/>
        </w:rPr>
        <w:t xml:space="preserve">de presentar, antes del inicio de la actividad, la documentación acreditativa de disponer de la </w:t>
      </w:r>
      <w:r w:rsidRPr="00DA6C2E">
        <w:rPr>
          <w:rFonts w:ascii="Century Gothic" w:eastAsia="Calibri" w:hAnsi="Century Gothic" w:cs="Arial"/>
          <w:b/>
        </w:rPr>
        <w:t xml:space="preserve">garantía financiera medioambiental </w:t>
      </w:r>
      <w:r w:rsidRPr="00DA6C2E">
        <w:rPr>
          <w:rFonts w:ascii="Century Gothic" w:eastAsia="Calibri" w:hAnsi="Century Gothic" w:cs="Arial"/>
          <w:bCs/>
        </w:rPr>
        <w:t xml:space="preserve">que en su caso resulte. Esta garantía podrá estar incluida en el seguro de responsabilidad civil. </w:t>
      </w:r>
    </w:p>
    <w:p w14:paraId="6769C00A" w14:textId="77777777" w:rsidR="004A3B54" w:rsidRPr="00DA6C2E" w:rsidRDefault="004A3B54" w:rsidP="006965D8">
      <w:pPr>
        <w:numPr>
          <w:ilvl w:val="0"/>
          <w:numId w:val="54"/>
        </w:numPr>
        <w:spacing w:line="256" w:lineRule="auto"/>
        <w:ind w:left="720"/>
        <w:jc w:val="both"/>
        <w:rPr>
          <w:rFonts w:ascii="Century Gothic" w:eastAsia="Calibri" w:hAnsi="Century Gothic" w:cs="Arial"/>
        </w:rPr>
      </w:pPr>
      <w:r w:rsidRPr="00DA6C2E">
        <w:rPr>
          <w:rFonts w:ascii="Century Gothic" w:eastAsia="Calibri" w:hAnsi="Century Gothic" w:cs="Arial"/>
        </w:rPr>
        <w:lastRenderedPageBreak/>
        <w:t>Alta en el epígrafe de Impuesto de Actividades Económicas (IAE) correspondiente y declaración censal de alta, modificación y baja en el censo de obligados tributarios (modelo 036 o modelo 037).</w:t>
      </w:r>
    </w:p>
    <w:p w14:paraId="5EF91CC4" w14:textId="77777777" w:rsidR="004A3B54" w:rsidRPr="00DA6C2E" w:rsidRDefault="004A3B54" w:rsidP="004A3B54">
      <w:pPr>
        <w:spacing w:line="256" w:lineRule="auto"/>
        <w:jc w:val="both"/>
        <w:rPr>
          <w:rFonts w:ascii="Century Gothic" w:eastAsia="Calibri" w:hAnsi="Century Gothic" w:cs="Arial"/>
        </w:rPr>
      </w:pPr>
      <w:r w:rsidRPr="00DA6C2E">
        <w:rPr>
          <w:rFonts w:ascii="Century Gothic" w:eastAsia="Calibri" w:hAnsi="Century Gothic" w:cs="Arial"/>
          <w:b/>
          <w:bCs/>
        </w:rPr>
        <w:t>C. De carácter técnico</w:t>
      </w:r>
    </w:p>
    <w:p w14:paraId="15D182F1" w14:textId="77777777" w:rsidR="004A3B54" w:rsidRPr="00DA6C2E" w:rsidRDefault="004A3B54" w:rsidP="006965D8">
      <w:pPr>
        <w:numPr>
          <w:ilvl w:val="0"/>
          <w:numId w:val="55"/>
        </w:numPr>
        <w:spacing w:line="256" w:lineRule="auto"/>
        <w:contextualSpacing/>
        <w:jc w:val="both"/>
        <w:rPr>
          <w:rFonts w:ascii="Century Gothic" w:eastAsia="Calibri" w:hAnsi="Century Gothic" w:cs="Calibri"/>
        </w:rPr>
      </w:pPr>
      <w:r w:rsidRPr="00DA6C2E">
        <w:rPr>
          <w:rFonts w:ascii="Century Gothic" w:eastAsia="Calibri" w:hAnsi="Century Gothic" w:cs="Arial"/>
          <w:b/>
          <w:bCs/>
        </w:rPr>
        <w:t>Declaración responsable</w:t>
      </w:r>
      <w:r w:rsidRPr="00DA6C2E">
        <w:rPr>
          <w:rFonts w:ascii="Century Gothic" w:eastAsia="Calibri" w:hAnsi="Century Gothic" w:cs="Calibri"/>
        </w:rPr>
        <w:t xml:space="preserve"> de adoptar los procedimientos y medidas establecidos y a cumplir los pactos y normas que, en relación con la seguridad y salud de los trabajadores, se implanten dentro de la zona portuaria.</w:t>
      </w:r>
    </w:p>
    <w:p w14:paraId="21991512" w14:textId="77777777" w:rsidR="004A3B54" w:rsidRPr="00DA6C2E" w:rsidRDefault="004A3B54" w:rsidP="006965D8">
      <w:pPr>
        <w:numPr>
          <w:ilvl w:val="0"/>
          <w:numId w:val="55"/>
        </w:numPr>
        <w:spacing w:line="256" w:lineRule="auto"/>
        <w:jc w:val="both"/>
        <w:rPr>
          <w:rFonts w:ascii="Century Gothic" w:eastAsia="Calibri" w:hAnsi="Century Gothic" w:cs="Arial"/>
        </w:rPr>
      </w:pPr>
      <w:r w:rsidRPr="00DA6C2E">
        <w:rPr>
          <w:rFonts w:ascii="Century Gothic" w:eastAsia="Calibri" w:hAnsi="Century Gothic" w:cs="Arial"/>
          <w:b/>
          <w:bCs/>
        </w:rPr>
        <w:t>Memoria de Métodos del servicio</w:t>
      </w:r>
      <w:r w:rsidRPr="00DA6C2E">
        <w:rPr>
          <w:rFonts w:ascii="Century Gothic" w:eastAsia="Calibri" w:hAnsi="Century Gothic" w:cs="Arial"/>
        </w:rPr>
        <w:t xml:space="preserve">, con descripción detallada de: </w:t>
      </w:r>
    </w:p>
    <w:p w14:paraId="08CA0BE4" w14:textId="77777777" w:rsidR="004A3B54" w:rsidRPr="00DA6C2E" w:rsidRDefault="004A3B54" w:rsidP="006965D8">
      <w:pPr>
        <w:numPr>
          <w:ilvl w:val="0"/>
          <w:numId w:val="40"/>
        </w:numPr>
        <w:spacing w:line="256" w:lineRule="auto"/>
        <w:ind w:left="1276" w:hanging="142"/>
        <w:contextualSpacing/>
        <w:jc w:val="both"/>
        <w:rPr>
          <w:rFonts w:ascii="Century Gothic" w:eastAsia="Calibri" w:hAnsi="Century Gothic" w:cs="Calibri"/>
        </w:rPr>
      </w:pPr>
      <w:r w:rsidRPr="00DA6C2E">
        <w:rPr>
          <w:rFonts w:ascii="Century Gothic" w:eastAsia="Calibri" w:hAnsi="Century Gothic" w:cs="Calibri"/>
        </w:rPr>
        <w:t>Acreditación de la solvencia y experiencia profesional y técnica en el sector del GNL del prestador del servicio que solicita la autorización comercial, con objeto de garantizar la solvencia y competencia necesaria para llevar a cabo las operaciones. La solvencia técnica también puede demostrarse a través de experiencia profesional y técnica de las empresas subcontratadas.</w:t>
      </w:r>
    </w:p>
    <w:p w14:paraId="4A36CDB8" w14:textId="77777777" w:rsidR="004A3B54" w:rsidRPr="00DA6C2E" w:rsidRDefault="004A3B54" w:rsidP="006965D8">
      <w:pPr>
        <w:numPr>
          <w:ilvl w:val="0"/>
          <w:numId w:val="40"/>
        </w:numPr>
        <w:spacing w:line="256" w:lineRule="auto"/>
        <w:ind w:left="1276" w:hanging="142"/>
        <w:contextualSpacing/>
        <w:jc w:val="both"/>
        <w:rPr>
          <w:rFonts w:ascii="Century Gothic" w:eastAsia="Calibri" w:hAnsi="Century Gothic" w:cs="Calibri"/>
        </w:rPr>
      </w:pPr>
      <w:r w:rsidRPr="00DA6C2E">
        <w:rPr>
          <w:rFonts w:ascii="Century Gothic" w:eastAsia="Calibri" w:hAnsi="Century Gothic" w:cs="Calibri"/>
        </w:rPr>
        <w:t xml:space="preserve">Medios que se pondrán a disposición para el suministro en el puerto de </w:t>
      </w:r>
      <w:r w:rsidRPr="00DA6C2E">
        <w:rPr>
          <w:rFonts w:ascii="Century Gothic" w:eastAsia="Calibri" w:hAnsi="Century Gothic" w:cs="Calibri"/>
          <w:color w:val="FF0000"/>
        </w:rPr>
        <w:t>XXXX</w:t>
      </w:r>
      <w:r w:rsidRPr="00DA6C2E">
        <w:rPr>
          <w:rFonts w:ascii="Century Gothic" w:eastAsia="Calibri" w:hAnsi="Century Gothic" w:cs="Calibri"/>
        </w:rPr>
        <w:t>, tanto si son propios como subcontratados.</w:t>
      </w:r>
      <w:r>
        <w:rPr>
          <w:rFonts w:ascii="Century Gothic" w:eastAsia="Calibri" w:hAnsi="Century Gothic" w:cs="Calibri"/>
        </w:rPr>
        <w:t xml:space="preserve"> Se incluirá una memoria descriptiva de las instalaciones de suministro, con una relación de los equipos y sistemas principales y sus características y prestaciones.</w:t>
      </w:r>
    </w:p>
    <w:p w14:paraId="337EE5E9" w14:textId="77777777" w:rsidR="004A3B54" w:rsidRPr="00DA6C2E" w:rsidRDefault="004A3B54" w:rsidP="006965D8">
      <w:pPr>
        <w:numPr>
          <w:ilvl w:val="0"/>
          <w:numId w:val="40"/>
        </w:numPr>
        <w:spacing w:line="256" w:lineRule="auto"/>
        <w:ind w:left="1276" w:hanging="142"/>
        <w:contextualSpacing/>
        <w:jc w:val="both"/>
        <w:rPr>
          <w:rFonts w:ascii="Century Gothic" w:eastAsia="Calibri" w:hAnsi="Century Gothic" w:cs="Arial"/>
        </w:rPr>
      </w:pPr>
      <w:r w:rsidRPr="00DA6C2E">
        <w:rPr>
          <w:rFonts w:ascii="Century Gothic" w:eastAsia="Calibri" w:hAnsi="Century Gothic" w:cs="Arial"/>
        </w:rPr>
        <w:t xml:space="preserve">Plan de organización de los servicios en el que se describan las actividades que integran </w:t>
      </w:r>
      <w:r w:rsidRPr="00DA6C2E">
        <w:rPr>
          <w:rFonts w:ascii="Century Gothic" w:eastAsia="Times New Roman" w:hAnsi="Century Gothic" w:cs="Arial"/>
        </w:rPr>
        <w:t xml:space="preserve">la prestación y se detallen la organización, procedimientos técnicos implicados y plan de respuesta a emergencias, en concreto lo siguiente: </w:t>
      </w:r>
    </w:p>
    <w:p w14:paraId="2646DBDC" w14:textId="77777777" w:rsidR="004A3B54" w:rsidRPr="00DA6C2E" w:rsidRDefault="004A3B54" w:rsidP="006965D8">
      <w:pPr>
        <w:numPr>
          <w:ilvl w:val="1"/>
          <w:numId w:val="56"/>
        </w:numPr>
        <w:spacing w:line="256" w:lineRule="auto"/>
        <w:ind w:left="1701"/>
        <w:contextualSpacing/>
        <w:jc w:val="both"/>
        <w:rPr>
          <w:rFonts w:ascii="Century Gothic" w:eastAsia="Calibri" w:hAnsi="Century Gothic" w:cs="Calibri"/>
        </w:rPr>
      </w:pPr>
      <w:r w:rsidRPr="00DA6C2E">
        <w:rPr>
          <w:rFonts w:ascii="Century Gothic" w:eastAsia="Calibri" w:hAnsi="Century Gothic" w:cs="Calibri"/>
        </w:rPr>
        <w:t>Modalidad de prestación del servicio</w:t>
      </w:r>
      <w:r>
        <w:rPr>
          <w:rFonts w:ascii="Century Gothic" w:eastAsia="Calibri" w:hAnsi="Century Gothic" w:cs="Calibri"/>
        </w:rPr>
        <w:t xml:space="preserve">: </w:t>
      </w:r>
      <w:r w:rsidRPr="00DA6C2E">
        <w:rPr>
          <w:rFonts w:ascii="Century Gothic" w:eastAsia="Calibri" w:hAnsi="Century Gothic" w:cs="Calibri"/>
        </w:rPr>
        <w:t>PTS</w:t>
      </w:r>
    </w:p>
    <w:p w14:paraId="076D53F4" w14:textId="77777777" w:rsidR="004A3B54" w:rsidRPr="00DA6C2E" w:rsidRDefault="004A3B54" w:rsidP="006965D8">
      <w:pPr>
        <w:numPr>
          <w:ilvl w:val="1"/>
          <w:numId w:val="56"/>
        </w:numPr>
        <w:spacing w:line="256" w:lineRule="auto"/>
        <w:ind w:left="1701"/>
        <w:contextualSpacing/>
        <w:jc w:val="both"/>
        <w:rPr>
          <w:rFonts w:ascii="Century Gothic" w:eastAsia="Calibri" w:hAnsi="Century Gothic" w:cs="Calibri"/>
        </w:rPr>
      </w:pPr>
      <w:r w:rsidRPr="00DA6C2E">
        <w:rPr>
          <w:rFonts w:ascii="Century Gothic" w:eastAsia="Calibri" w:hAnsi="Century Gothic" w:cs="Calibri"/>
        </w:rPr>
        <w:t>Previsiones de actividad y buques a los que se prevé suministrar</w:t>
      </w:r>
      <w:r>
        <w:rPr>
          <w:rFonts w:ascii="Century Gothic" w:eastAsia="Calibri" w:hAnsi="Century Gothic" w:cs="Calibri"/>
        </w:rPr>
        <w:t>.</w:t>
      </w:r>
    </w:p>
    <w:p w14:paraId="083A60A1" w14:textId="77777777" w:rsidR="004A3B54" w:rsidRDefault="004A3B54" w:rsidP="006965D8">
      <w:pPr>
        <w:numPr>
          <w:ilvl w:val="1"/>
          <w:numId w:val="56"/>
        </w:numPr>
        <w:spacing w:line="256" w:lineRule="auto"/>
        <w:ind w:left="1701"/>
        <w:contextualSpacing/>
        <w:jc w:val="both"/>
        <w:rPr>
          <w:rFonts w:ascii="Century Gothic" w:eastAsia="Calibri" w:hAnsi="Century Gothic" w:cs="Calibri"/>
        </w:rPr>
      </w:pPr>
      <w:r w:rsidRPr="00DA6C2E">
        <w:rPr>
          <w:rFonts w:ascii="Century Gothic" w:eastAsia="Calibri" w:hAnsi="Century Gothic" w:cs="Calibri"/>
        </w:rPr>
        <w:t>Procedimientos. Incluirán una propuesta detallada de la operativa y de los medios materiales y humanos que intervienen en la misma.</w:t>
      </w:r>
    </w:p>
    <w:p w14:paraId="4299C1AD" w14:textId="77777777" w:rsidR="004A3B54" w:rsidRDefault="004A3B54" w:rsidP="006965D8">
      <w:pPr>
        <w:numPr>
          <w:ilvl w:val="1"/>
          <w:numId w:val="56"/>
        </w:numPr>
        <w:spacing w:line="256" w:lineRule="auto"/>
        <w:ind w:left="1701"/>
        <w:contextualSpacing/>
        <w:jc w:val="both"/>
        <w:rPr>
          <w:rFonts w:ascii="Century Gothic" w:eastAsia="Calibri" w:hAnsi="Century Gothic" w:cs="Calibri"/>
        </w:rPr>
      </w:pPr>
      <w:r>
        <w:rPr>
          <w:rFonts w:ascii="Century Gothic" w:eastAsia="Calibri" w:hAnsi="Century Gothic" w:cs="Calibri"/>
        </w:rPr>
        <w:t>Aprovisionamiento. Descripción de las fuentes de suministro del gas natural licuado que se destinará a los repostajes a realizar desde las instalaciones.</w:t>
      </w:r>
    </w:p>
    <w:p w14:paraId="1FA7E4BD" w14:textId="77777777" w:rsidR="004A3B54" w:rsidRPr="00DA6C2E" w:rsidRDefault="004A3B54" w:rsidP="006965D8">
      <w:pPr>
        <w:numPr>
          <w:ilvl w:val="1"/>
          <w:numId w:val="56"/>
        </w:numPr>
        <w:spacing w:line="256" w:lineRule="auto"/>
        <w:ind w:left="1701"/>
        <w:contextualSpacing/>
        <w:jc w:val="both"/>
        <w:rPr>
          <w:rFonts w:ascii="Century Gothic" w:eastAsia="Calibri" w:hAnsi="Century Gothic" w:cs="Calibri"/>
        </w:rPr>
      </w:pPr>
      <w:r>
        <w:rPr>
          <w:rFonts w:ascii="Century Gothic" w:eastAsia="Calibri" w:hAnsi="Century Gothic" w:cs="Calibri"/>
        </w:rPr>
        <w:t>Protección ambiental. Descripción de las medidas adoptadas para reducir el impacto ambiental de la instalación, destacando específicamente los medios disponibles para minimizar las emisiones de gas natural a la atmósfera ya sea de origen operativo o de emisiones fugitivas.</w:t>
      </w:r>
    </w:p>
    <w:p w14:paraId="06FEE6CD" w14:textId="77777777" w:rsidR="004A3B54" w:rsidRPr="00DA6C2E" w:rsidRDefault="004A3B54" w:rsidP="006965D8">
      <w:pPr>
        <w:numPr>
          <w:ilvl w:val="0"/>
          <w:numId w:val="57"/>
        </w:numPr>
        <w:spacing w:line="256" w:lineRule="auto"/>
        <w:ind w:left="1134" w:hanging="425"/>
        <w:contextualSpacing/>
        <w:jc w:val="both"/>
        <w:rPr>
          <w:rFonts w:ascii="Century Gothic" w:eastAsia="Calibri" w:hAnsi="Century Gothic" w:cs="Calibri"/>
        </w:rPr>
      </w:pPr>
      <w:r w:rsidRPr="00DA6C2E">
        <w:rPr>
          <w:rFonts w:ascii="Century Gothic" w:eastAsia="Calibri" w:hAnsi="Century Gothic" w:cs="Calibri"/>
          <w:b/>
          <w:bCs/>
        </w:rPr>
        <w:t>Acreditación específica de disponer de los medios humanos y materiales</w:t>
      </w:r>
      <w:r w:rsidRPr="00DA6C2E">
        <w:rPr>
          <w:rFonts w:ascii="Century Gothic" w:eastAsia="Calibri" w:hAnsi="Century Gothic" w:cs="Calibri"/>
        </w:rPr>
        <w:t xml:space="preserve"> que se adscribirán al servicio, que incluirá:</w:t>
      </w:r>
    </w:p>
    <w:p w14:paraId="7BE90C87" w14:textId="77777777" w:rsidR="004A3B54" w:rsidRDefault="004A3B54" w:rsidP="006965D8">
      <w:pPr>
        <w:numPr>
          <w:ilvl w:val="1"/>
          <w:numId w:val="57"/>
        </w:numPr>
        <w:spacing w:line="256" w:lineRule="auto"/>
        <w:ind w:left="1701"/>
        <w:contextualSpacing/>
        <w:jc w:val="both"/>
        <w:rPr>
          <w:rFonts w:ascii="Century Gothic" w:eastAsia="Calibri" w:hAnsi="Century Gothic" w:cs="Calibri"/>
        </w:rPr>
      </w:pPr>
      <w:r>
        <w:rPr>
          <w:rFonts w:ascii="Century Gothic" w:eastAsia="Calibri" w:hAnsi="Century Gothic" w:cs="Calibri"/>
        </w:rPr>
        <w:t>Proyecto constructivo de la instalación de suministro o, en su defecto, declaración responsable indicando que se presentará este proyecto constructivo ante la Autoridad Portuaria antes del inicio de la construcción, y no más tarde de dos años después del otorgamiento de la autorización (título habilitante).</w:t>
      </w:r>
    </w:p>
    <w:p w14:paraId="369290E1" w14:textId="77777777" w:rsidR="004A3B54" w:rsidRDefault="004A3B54" w:rsidP="006965D8">
      <w:pPr>
        <w:numPr>
          <w:ilvl w:val="1"/>
          <w:numId w:val="57"/>
        </w:numPr>
        <w:spacing w:line="256" w:lineRule="auto"/>
        <w:ind w:left="1701"/>
        <w:contextualSpacing/>
        <w:jc w:val="both"/>
        <w:rPr>
          <w:rFonts w:ascii="Century Gothic" w:eastAsia="Calibri" w:hAnsi="Century Gothic" w:cs="Calibri"/>
        </w:rPr>
      </w:pPr>
      <w:r>
        <w:rPr>
          <w:rFonts w:ascii="Century Gothic" w:eastAsia="Calibri" w:hAnsi="Century Gothic" w:cs="Calibri"/>
        </w:rPr>
        <w:t>Descripción de la organización y los medios humanos que se emplearán para la operación de la instalación de suministro.</w:t>
      </w:r>
    </w:p>
    <w:p w14:paraId="2FCCC8B4" w14:textId="77777777" w:rsidR="004A3B54" w:rsidRPr="00DA6C2E" w:rsidRDefault="004A3B54" w:rsidP="006965D8">
      <w:pPr>
        <w:numPr>
          <w:ilvl w:val="1"/>
          <w:numId w:val="57"/>
        </w:numPr>
        <w:spacing w:line="256" w:lineRule="auto"/>
        <w:ind w:left="1701"/>
        <w:contextualSpacing/>
        <w:jc w:val="both"/>
        <w:rPr>
          <w:rFonts w:ascii="Century Gothic" w:eastAsia="Calibri" w:hAnsi="Century Gothic" w:cs="Calibri"/>
        </w:rPr>
      </w:pPr>
      <w:r>
        <w:rPr>
          <w:rFonts w:ascii="Century Gothic" w:eastAsia="Calibri" w:hAnsi="Century Gothic" w:cs="Calibri"/>
        </w:rPr>
        <w:t xml:space="preserve">Análisis de riesgos de la actividad o, en su defecto, declaración responsable indicando que se presentará el análisis de riesgos antes </w:t>
      </w:r>
      <w:r>
        <w:rPr>
          <w:rFonts w:ascii="Century Gothic" w:eastAsia="Calibri" w:hAnsi="Century Gothic" w:cs="Calibri"/>
        </w:rPr>
        <w:lastRenderedPageBreak/>
        <w:t>del inicio de la actividad. Conforme a lo indicado en la especificación técnica ISO TS 18683, las operaciones de repostaje de GNL a un buque que no realice otras operaciones simultáneas (SIMOPS) puede restringirse a un análisis cualitativo de riesgos, debiendo realizar un análisis cuantitativo de riesgos cuando existan SIMOPS. En cualquier caso, dentro del análisis de riesgos se incluirá un estudio para determinar la zona de seguridad a la que estará prohibido el acceso a personal ajeno, con los criterios establecidos en la norma ISO 20519.</w:t>
      </w:r>
    </w:p>
    <w:p w14:paraId="5E3C675F" w14:textId="77777777" w:rsidR="004A3B54" w:rsidRPr="00DA6C2E" w:rsidRDefault="004A3B54" w:rsidP="006965D8">
      <w:pPr>
        <w:numPr>
          <w:ilvl w:val="0"/>
          <w:numId w:val="57"/>
        </w:numPr>
        <w:spacing w:line="256" w:lineRule="auto"/>
        <w:ind w:left="1276"/>
        <w:contextualSpacing/>
        <w:jc w:val="both"/>
        <w:rPr>
          <w:rFonts w:ascii="Century Gothic" w:eastAsia="Calibri" w:hAnsi="Century Gothic" w:cs="Calibri"/>
        </w:rPr>
      </w:pPr>
      <w:r w:rsidRPr="00DA6C2E">
        <w:rPr>
          <w:rFonts w:ascii="Century Gothic" w:eastAsia="Calibri" w:hAnsi="Century Gothic" w:cs="Calibri"/>
        </w:rPr>
        <w:t xml:space="preserve">Los </w:t>
      </w:r>
      <w:r w:rsidRPr="00DA6C2E">
        <w:rPr>
          <w:rFonts w:ascii="Century Gothic" w:eastAsia="Calibri" w:hAnsi="Century Gothic" w:cs="Calibri"/>
          <w:b/>
          <w:bCs/>
        </w:rPr>
        <w:t>sistemas de registro</w:t>
      </w:r>
      <w:r w:rsidRPr="00DA6C2E">
        <w:rPr>
          <w:rFonts w:ascii="Century Gothic" w:eastAsia="Calibri" w:hAnsi="Century Gothic" w:cs="Calibri"/>
        </w:rPr>
        <w:t xml:space="preserve"> de las </w:t>
      </w:r>
      <w:r w:rsidRPr="00DA6C2E">
        <w:rPr>
          <w:rFonts w:ascii="Century Gothic" w:eastAsia="Calibri" w:hAnsi="Century Gothic" w:cs="Arial"/>
        </w:rPr>
        <w:t>solicitudes, el desarrollo de las actividades, los incidentes y las reclamaciones de cada servicio.</w:t>
      </w:r>
    </w:p>
    <w:p w14:paraId="4E569A60" w14:textId="6C03F1C0" w:rsidR="004A3B54" w:rsidRPr="00DA6C2E" w:rsidRDefault="004A3B54" w:rsidP="006965D8">
      <w:pPr>
        <w:numPr>
          <w:ilvl w:val="0"/>
          <w:numId w:val="57"/>
        </w:numPr>
        <w:spacing w:line="256" w:lineRule="auto"/>
        <w:ind w:left="1276"/>
        <w:contextualSpacing/>
        <w:jc w:val="both"/>
        <w:rPr>
          <w:rFonts w:ascii="Century Gothic" w:eastAsia="Calibri" w:hAnsi="Century Gothic" w:cs="Arial"/>
        </w:rPr>
      </w:pPr>
      <w:r w:rsidRPr="00DA6C2E">
        <w:rPr>
          <w:rFonts w:ascii="Century Gothic" w:eastAsia="Calibri" w:hAnsi="Century Gothic" w:cs="Arial"/>
          <w:b/>
          <w:bCs/>
        </w:rPr>
        <w:t xml:space="preserve">Certificación del sistema de gestión de la calidad y del medioambiente </w:t>
      </w:r>
      <w:r w:rsidRPr="00DA6C2E">
        <w:rPr>
          <w:rFonts w:ascii="Century Gothic" w:eastAsia="Calibri" w:hAnsi="Century Gothic" w:cs="Arial"/>
        </w:rPr>
        <w:t>(para la calidad la ISO 9000, y para el medio ambiente la ISO 1400</w:t>
      </w:r>
      <w:r w:rsidR="00AE3F89">
        <w:rPr>
          <w:rFonts w:ascii="Century Gothic" w:eastAsia="Calibri" w:hAnsi="Century Gothic" w:cs="Arial"/>
        </w:rPr>
        <w:t>1</w:t>
      </w:r>
      <w:r w:rsidRPr="00DA6C2E">
        <w:rPr>
          <w:rFonts w:ascii="Century Gothic" w:eastAsia="Calibri" w:hAnsi="Century Gothic" w:cs="Arial"/>
        </w:rPr>
        <w:t xml:space="preserve"> o acreditaciones EMAS) o, en su defecto, compromiso de aportar dicha certificación en el plazo establecido en la Condición 6ª. </w:t>
      </w:r>
    </w:p>
    <w:p w14:paraId="6B6D402C" w14:textId="77777777" w:rsidR="004A3B54" w:rsidRPr="00DA6C2E" w:rsidRDefault="004A3B54" w:rsidP="004A3B54">
      <w:pPr>
        <w:spacing w:line="256" w:lineRule="auto"/>
        <w:jc w:val="both"/>
        <w:rPr>
          <w:rFonts w:ascii="Century Gothic" w:eastAsia="Calibri" w:hAnsi="Century Gothic" w:cs="Arial"/>
        </w:rPr>
      </w:pPr>
      <w:r w:rsidRPr="00DA6C2E">
        <w:rPr>
          <w:rFonts w:ascii="Century Gothic" w:eastAsia="Calibri" w:hAnsi="Century Gothic" w:cs="Arial"/>
          <w:b/>
          <w:bCs/>
        </w:rPr>
        <w:t>D. De otro carácter</w:t>
      </w:r>
    </w:p>
    <w:p w14:paraId="5943B605" w14:textId="77777777" w:rsidR="004A3B54" w:rsidRPr="00DA6C2E" w:rsidRDefault="004A3B54" w:rsidP="006965D8">
      <w:pPr>
        <w:numPr>
          <w:ilvl w:val="0"/>
          <w:numId w:val="74"/>
        </w:numPr>
        <w:spacing w:line="256" w:lineRule="auto"/>
        <w:ind w:left="2138"/>
        <w:jc w:val="both"/>
        <w:rPr>
          <w:rFonts w:ascii="Century Gothic" w:eastAsia="Calibri" w:hAnsi="Century Gothic" w:cs="Arial"/>
        </w:rPr>
      </w:pPr>
      <w:r w:rsidRPr="00DA6C2E">
        <w:rPr>
          <w:rFonts w:ascii="Century Gothic" w:eastAsia="Calibri" w:hAnsi="Century Gothic" w:cs="Arial"/>
        </w:rPr>
        <w:t xml:space="preserve">Comunicaciones informativas relativas a la Ley Orgánica de </w:t>
      </w:r>
      <w:r w:rsidRPr="00DA6C2E">
        <w:rPr>
          <w:rFonts w:ascii="Century Gothic" w:eastAsia="Calibri" w:hAnsi="Century Gothic" w:cs="Arial"/>
          <w:b/>
          <w:bCs/>
        </w:rPr>
        <w:t xml:space="preserve">Protección de Datos </w:t>
      </w:r>
      <w:r w:rsidRPr="00DA6C2E">
        <w:rPr>
          <w:rFonts w:ascii="Century Gothic" w:eastAsia="Calibri" w:hAnsi="Century Gothic" w:cs="Arial"/>
        </w:rPr>
        <w:t xml:space="preserve">hechas a cada una de las personas físicas cuyos datos sean cedidos a la Autoridad Portuaria y firmadas individualmente por cada uno de los afectados. </w:t>
      </w:r>
    </w:p>
    <w:p w14:paraId="511AFC4A" w14:textId="764F6753" w:rsidR="004A3B54" w:rsidRPr="004A3B54" w:rsidRDefault="004A3B54" w:rsidP="006965D8">
      <w:pPr>
        <w:numPr>
          <w:ilvl w:val="0"/>
          <w:numId w:val="74"/>
        </w:numPr>
        <w:spacing w:line="256" w:lineRule="auto"/>
        <w:ind w:left="2138"/>
        <w:jc w:val="both"/>
        <w:rPr>
          <w:rFonts w:ascii="Century Gothic" w:eastAsia="Calibri" w:hAnsi="Century Gothic" w:cs="Arial"/>
        </w:rPr>
      </w:pPr>
      <w:r w:rsidRPr="004A3B54">
        <w:rPr>
          <w:rFonts w:ascii="Century Gothic" w:eastAsia="Calibri" w:hAnsi="Century Gothic" w:cs="Arial"/>
        </w:rPr>
        <w:t xml:space="preserve">Declaración responsable de </w:t>
      </w:r>
      <w:r w:rsidRPr="004A3B54">
        <w:rPr>
          <w:rFonts w:ascii="Century Gothic" w:eastAsia="Calibri" w:hAnsi="Century Gothic" w:cs="Arial"/>
          <w:b/>
          <w:bCs/>
        </w:rPr>
        <w:t xml:space="preserve">notificar a la Autoridad Portuaria cualquier modificación </w:t>
      </w:r>
      <w:r w:rsidRPr="004A3B54">
        <w:rPr>
          <w:rFonts w:ascii="Century Gothic" w:eastAsia="Calibri" w:hAnsi="Century Gothic" w:cs="Arial"/>
        </w:rPr>
        <w:t>o circunstancia que afecte o pueda afectar al contenido de la documentación relacionada en los párrafos anteriores y se produzca con posterioridad a la solicitud y/o al otorgamiento de la autorización.</w:t>
      </w:r>
    </w:p>
    <w:p w14:paraId="134D81F8" w14:textId="77777777" w:rsidR="004A3B54" w:rsidRPr="00DA6C2E" w:rsidRDefault="004A3B54" w:rsidP="004A3B54">
      <w:pPr>
        <w:spacing w:line="256" w:lineRule="auto"/>
        <w:jc w:val="both"/>
        <w:rPr>
          <w:rFonts w:ascii="Century Gothic" w:eastAsia="Calibri" w:hAnsi="Century Gothic" w:cs="Arial"/>
        </w:rPr>
      </w:pPr>
    </w:p>
    <w:p w14:paraId="1F7FCDD4" w14:textId="169ADF4C" w:rsidR="004A3B54" w:rsidRPr="00DA6C2E" w:rsidRDefault="004A3B54" w:rsidP="006965D8">
      <w:pPr>
        <w:numPr>
          <w:ilvl w:val="0"/>
          <w:numId w:val="61"/>
        </w:numPr>
        <w:spacing w:line="256" w:lineRule="auto"/>
        <w:contextualSpacing/>
        <w:jc w:val="both"/>
        <w:rPr>
          <w:rFonts w:ascii="Century Gothic" w:eastAsia="Calibri" w:hAnsi="Century Gothic" w:cs="Arial"/>
          <w:b/>
          <w:bCs/>
          <w:sz w:val="28"/>
          <w:szCs w:val="28"/>
        </w:rPr>
      </w:pPr>
      <w:r w:rsidRPr="00DA6C2E">
        <w:rPr>
          <w:rFonts w:ascii="Century Gothic" w:eastAsia="Calibri" w:hAnsi="Century Gothic" w:cs="Arial"/>
          <w:b/>
          <w:bCs/>
          <w:sz w:val="28"/>
          <w:szCs w:val="28"/>
        </w:rPr>
        <w:t xml:space="preserve">DOCUMENTACIÓN PARA LA SOLICITUD DE </w:t>
      </w:r>
      <w:r>
        <w:rPr>
          <w:rFonts w:ascii="Century Gothic" w:eastAsia="Calibri" w:hAnsi="Century Gothic" w:cs="Arial"/>
          <w:b/>
          <w:bCs/>
          <w:sz w:val="28"/>
          <w:szCs w:val="28"/>
        </w:rPr>
        <w:t>VALIDACIÓN</w:t>
      </w:r>
      <w:r w:rsidRPr="00DA6C2E">
        <w:rPr>
          <w:rFonts w:ascii="Century Gothic" w:eastAsia="Calibri" w:hAnsi="Century Gothic" w:cs="Arial"/>
          <w:b/>
          <w:bCs/>
          <w:sz w:val="28"/>
          <w:szCs w:val="28"/>
        </w:rPr>
        <w:t xml:space="preserve"> TÉCNICA DE SUMINISTRO</w:t>
      </w:r>
      <w:r>
        <w:rPr>
          <w:rFonts w:ascii="Century Gothic" w:eastAsia="Calibri" w:hAnsi="Century Gothic" w:cs="Arial"/>
          <w:b/>
          <w:bCs/>
          <w:sz w:val="28"/>
          <w:szCs w:val="28"/>
        </w:rPr>
        <w:t xml:space="preserve"> PTS</w:t>
      </w:r>
    </w:p>
    <w:p w14:paraId="0508037A" w14:textId="77777777" w:rsidR="004A3B54" w:rsidRPr="00DA6C2E" w:rsidRDefault="004A3B54" w:rsidP="004A3B54">
      <w:pPr>
        <w:spacing w:line="256" w:lineRule="auto"/>
        <w:jc w:val="both"/>
        <w:rPr>
          <w:rFonts w:ascii="Century Gothic" w:eastAsia="Calibri" w:hAnsi="Century Gothic" w:cs="Arial"/>
          <w:b/>
          <w:bCs/>
        </w:rPr>
      </w:pPr>
      <w:r w:rsidRPr="00DA6C2E">
        <w:rPr>
          <w:rFonts w:ascii="Century Gothic" w:eastAsia="Calibri" w:hAnsi="Century Gothic" w:cs="Arial"/>
        </w:rPr>
        <w:t>Para que la Autoridad Portuaria resuelva sobre el otorgamiento de una autorización técnica para la prestación del servicio objeto de este PCP, el interesado deberá formular una solicitud acompañada de la siguiente documentación:</w:t>
      </w:r>
    </w:p>
    <w:p w14:paraId="1F7A2169" w14:textId="77777777" w:rsidR="004A3B54" w:rsidRPr="00DA6C2E" w:rsidRDefault="004A3B54" w:rsidP="006965D8">
      <w:pPr>
        <w:numPr>
          <w:ilvl w:val="0"/>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b/>
        </w:rPr>
        <w:t>Escrito de solicitud</w:t>
      </w:r>
      <w:r w:rsidRPr="00DA6C2E">
        <w:rPr>
          <w:rFonts w:ascii="Century Gothic" w:eastAsia="Calibri" w:hAnsi="Century Gothic" w:cs="Times New Roman"/>
        </w:rPr>
        <w:t xml:space="preserve">, dirigido a la Autoridad Portuaria firmado por el suministrador, en el que se aluda a la autorización (título habilitante) previa asociada y que incluya: </w:t>
      </w:r>
    </w:p>
    <w:p w14:paraId="2B607490" w14:textId="77777777" w:rsidR="004A3B54" w:rsidRPr="00DA6C2E" w:rsidRDefault="004A3B54" w:rsidP="006965D8">
      <w:pPr>
        <w:numPr>
          <w:ilvl w:val="1"/>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rPr>
        <w:t>Titular de la autorización del servicio de suministro de GNL</w:t>
      </w:r>
    </w:p>
    <w:p w14:paraId="2E6493BA" w14:textId="77777777" w:rsidR="004A3B54" w:rsidRPr="00DA6C2E" w:rsidRDefault="004A3B54" w:rsidP="006965D8">
      <w:pPr>
        <w:numPr>
          <w:ilvl w:val="1"/>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rPr>
        <w:t>Modalidad de suministro (PTS)</w:t>
      </w:r>
    </w:p>
    <w:p w14:paraId="6384111F" w14:textId="77777777" w:rsidR="004A3B54" w:rsidRPr="00DA6C2E" w:rsidRDefault="004A3B54" w:rsidP="006965D8">
      <w:pPr>
        <w:numPr>
          <w:ilvl w:val="1"/>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rPr>
        <w:t>Identificación del equipo suministrador y del/los tipo/s de buques receptores a los que se pretende suministrar</w:t>
      </w:r>
    </w:p>
    <w:p w14:paraId="5C91C833" w14:textId="77777777" w:rsidR="004A3B54" w:rsidRPr="00DA6C2E" w:rsidRDefault="004A3B54" w:rsidP="006965D8">
      <w:pPr>
        <w:numPr>
          <w:ilvl w:val="1"/>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rPr>
        <w:t>Ubicaciones en las que se pretende realizar el suministro</w:t>
      </w:r>
    </w:p>
    <w:p w14:paraId="5FBA229E" w14:textId="77777777" w:rsidR="004A3B54" w:rsidRPr="00DA6C2E" w:rsidRDefault="004A3B54" w:rsidP="006965D8">
      <w:pPr>
        <w:numPr>
          <w:ilvl w:val="1"/>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rPr>
        <w:t>Operaciones previstas de suministro en un año, con indicación de fechas estimadas y cantidades a suministrar</w:t>
      </w:r>
    </w:p>
    <w:p w14:paraId="02CEFC4A" w14:textId="77777777" w:rsidR="004A3B54" w:rsidRPr="00DA6C2E" w:rsidRDefault="004A3B54" w:rsidP="004A3B54">
      <w:pPr>
        <w:spacing w:before="120" w:after="120" w:line="276" w:lineRule="auto"/>
        <w:ind w:left="720"/>
        <w:rPr>
          <w:rFonts w:ascii="Century Gothic" w:eastAsia="Calibri" w:hAnsi="Century Gothic" w:cs="Times New Roman"/>
        </w:rPr>
      </w:pPr>
      <w:r w:rsidRPr="00DA6C2E">
        <w:rPr>
          <w:rFonts w:ascii="Century Gothic" w:eastAsia="Calibri" w:hAnsi="Century Gothic" w:cs="Times New Roman"/>
        </w:rPr>
        <w:lastRenderedPageBreak/>
        <w:t>Se indicará el nombre de la persona física o jurídica, el NIF y domicilio.</w:t>
      </w:r>
    </w:p>
    <w:p w14:paraId="59B16425" w14:textId="77777777" w:rsidR="004A3B54" w:rsidRPr="00DA6C2E" w:rsidRDefault="004A3B54" w:rsidP="006965D8">
      <w:pPr>
        <w:numPr>
          <w:ilvl w:val="0"/>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b/>
          <w:bCs/>
        </w:rPr>
        <w:t>Memoria técnica</w:t>
      </w:r>
      <w:r w:rsidRPr="00DA6C2E">
        <w:rPr>
          <w:rFonts w:ascii="Century Gothic" w:eastAsia="Calibri" w:hAnsi="Century Gothic" w:cs="Times New Roman"/>
        </w:rPr>
        <w:t xml:space="preserve"> que incluya </w:t>
      </w:r>
      <w:r>
        <w:rPr>
          <w:rFonts w:ascii="Century Gothic" w:eastAsia="Calibri" w:hAnsi="Century Gothic" w:cs="Times New Roman"/>
        </w:rPr>
        <w:t>cualquier modificación o desviación a la Memoria de Métodos del servicio presentada para la obtención de la Autorización (Título Habilitante), en particular:</w:t>
      </w:r>
      <w:r w:rsidRPr="00DA6C2E">
        <w:rPr>
          <w:rFonts w:ascii="Century Gothic" w:eastAsia="Calibri" w:hAnsi="Century Gothic" w:cs="Calibri"/>
        </w:rPr>
        <w:t xml:space="preserve"> </w:t>
      </w:r>
    </w:p>
    <w:p w14:paraId="055BC14E" w14:textId="77777777" w:rsidR="004A3B54" w:rsidRPr="00DA6C2E" w:rsidRDefault="004A3B54" w:rsidP="006965D8">
      <w:pPr>
        <w:numPr>
          <w:ilvl w:val="1"/>
          <w:numId w:val="58"/>
        </w:numPr>
        <w:spacing w:line="256" w:lineRule="auto"/>
        <w:jc w:val="both"/>
        <w:rPr>
          <w:rFonts w:ascii="Century Gothic" w:eastAsia="Calibri" w:hAnsi="Century Gothic" w:cs="Calibri"/>
        </w:rPr>
      </w:pPr>
      <w:r w:rsidRPr="00DA6C2E">
        <w:rPr>
          <w:rFonts w:ascii="Century Gothic" w:eastAsia="Calibri" w:hAnsi="Century Gothic" w:cs="Calibri"/>
        </w:rPr>
        <w:t xml:space="preserve">Procedimientos para llevar a cabo el servicio de </w:t>
      </w:r>
      <w:r>
        <w:rPr>
          <w:rFonts w:ascii="Century Gothic" w:eastAsia="Calibri" w:hAnsi="Century Gothic" w:cs="Calibri"/>
        </w:rPr>
        <w:t xml:space="preserve">repostaje de </w:t>
      </w:r>
      <w:r w:rsidRPr="00DA6C2E">
        <w:rPr>
          <w:rFonts w:ascii="Century Gothic" w:eastAsia="Calibri" w:hAnsi="Century Gothic" w:cs="Calibri"/>
        </w:rPr>
        <w:t>combustible.</w:t>
      </w:r>
    </w:p>
    <w:p w14:paraId="2C1379FF" w14:textId="77777777" w:rsidR="004A3B54" w:rsidRPr="00DA6C2E" w:rsidRDefault="004A3B54" w:rsidP="006965D8">
      <w:pPr>
        <w:numPr>
          <w:ilvl w:val="1"/>
          <w:numId w:val="58"/>
        </w:numPr>
        <w:spacing w:line="256" w:lineRule="auto"/>
        <w:jc w:val="both"/>
        <w:rPr>
          <w:rFonts w:ascii="Century Gothic" w:eastAsia="Calibri" w:hAnsi="Century Gothic" w:cs="Calibri"/>
        </w:rPr>
      </w:pPr>
      <w:r w:rsidRPr="00DA6C2E">
        <w:rPr>
          <w:rFonts w:ascii="Century Gothic" w:eastAsia="Calibri" w:hAnsi="Century Gothic" w:cs="Calibri"/>
        </w:rPr>
        <w:t xml:space="preserve">Listado de contactos para casos de emergencia. </w:t>
      </w:r>
    </w:p>
    <w:p w14:paraId="023BE902" w14:textId="77777777" w:rsidR="004A3B54" w:rsidRPr="00DA6C2E" w:rsidRDefault="004A3B54" w:rsidP="006965D8">
      <w:pPr>
        <w:numPr>
          <w:ilvl w:val="1"/>
          <w:numId w:val="58"/>
        </w:numPr>
        <w:spacing w:line="256" w:lineRule="auto"/>
        <w:jc w:val="both"/>
        <w:rPr>
          <w:rFonts w:ascii="Century Gothic" w:eastAsia="Calibri" w:hAnsi="Century Gothic" w:cs="Calibri"/>
        </w:rPr>
      </w:pPr>
      <w:r>
        <w:rPr>
          <w:rFonts w:ascii="Century Gothic" w:eastAsia="Calibri" w:hAnsi="Century Gothic" w:cs="Calibri"/>
        </w:rPr>
        <w:t>Declaración responsable de llevar a cabo todas las actividades de mantenimiento establecidas por los fabricantes o la reglamentación para los equipos y sistemas de la instalación de suministro de GNL</w:t>
      </w:r>
      <w:r w:rsidRPr="00DA6C2E">
        <w:rPr>
          <w:rFonts w:ascii="Century Gothic" w:eastAsia="Calibri" w:hAnsi="Century Gothic" w:cs="Calibri"/>
        </w:rPr>
        <w:t>.</w:t>
      </w:r>
    </w:p>
    <w:p w14:paraId="4F669C23" w14:textId="77777777" w:rsidR="004A3B54" w:rsidRPr="00755231" w:rsidRDefault="004A3B54" w:rsidP="006965D8">
      <w:pPr>
        <w:numPr>
          <w:ilvl w:val="0"/>
          <w:numId w:val="64"/>
        </w:numPr>
        <w:spacing w:before="120" w:after="120" w:line="276" w:lineRule="auto"/>
        <w:jc w:val="both"/>
        <w:rPr>
          <w:rFonts w:ascii="Century Gothic" w:eastAsia="Calibri" w:hAnsi="Century Gothic" w:cs="Times New Roman"/>
        </w:rPr>
      </w:pPr>
      <w:r w:rsidRPr="00DA6C2E">
        <w:rPr>
          <w:rFonts w:ascii="Century Gothic" w:eastAsia="Calibri" w:hAnsi="Century Gothic" w:cs="Times New Roman"/>
          <w:b/>
          <w:bCs/>
        </w:rPr>
        <w:t>Carta de adhesión a los análisis de riesgos genéricos</w:t>
      </w:r>
      <w:r w:rsidRPr="00DA6C2E">
        <w:rPr>
          <w:rFonts w:ascii="Century Gothic" w:eastAsia="Calibri" w:hAnsi="Century Gothic" w:cs="Times New Roman"/>
        </w:rPr>
        <w:t xml:space="preserve"> del puerto de </w:t>
      </w:r>
      <w:r w:rsidRPr="00DA6C2E">
        <w:rPr>
          <w:rFonts w:ascii="Century Gothic" w:eastAsia="Calibri" w:hAnsi="Century Gothic" w:cs="Times New Roman"/>
          <w:color w:val="FF0000"/>
        </w:rPr>
        <w:t xml:space="preserve">XX </w:t>
      </w:r>
      <w:r w:rsidRPr="00DA6C2E">
        <w:rPr>
          <w:rFonts w:ascii="Century Gothic" w:eastAsia="Calibri" w:hAnsi="Century Gothic" w:cs="Times New Roman"/>
        </w:rPr>
        <w:t xml:space="preserve">realizados por la Autoridad Portuaria en </w:t>
      </w:r>
      <w:r w:rsidRPr="00DA6C2E">
        <w:rPr>
          <w:rFonts w:ascii="Century Gothic" w:eastAsia="Times New Roman" w:hAnsi="Century Gothic" w:cs="Times New Roman"/>
        </w:rPr>
        <w:t xml:space="preserve">fecha </w:t>
      </w:r>
      <w:r w:rsidRPr="00DA6C2E">
        <w:rPr>
          <w:rFonts w:ascii="Century Gothic" w:eastAsia="Times New Roman" w:hAnsi="Century Gothic" w:cs="Times New Roman"/>
          <w:color w:val="FF0000"/>
        </w:rPr>
        <w:t>XX</w:t>
      </w:r>
      <w:r>
        <w:rPr>
          <w:rFonts w:ascii="Century Gothic" w:eastAsia="Times New Roman" w:hAnsi="Century Gothic" w:cs="Times New Roman"/>
          <w:color w:val="FF0000"/>
        </w:rPr>
        <w:t xml:space="preserve">, </w:t>
      </w:r>
      <w:r w:rsidRPr="00755231">
        <w:rPr>
          <w:rFonts w:ascii="Century Gothic" w:eastAsia="Times New Roman" w:hAnsi="Century Gothic" w:cs="Times New Roman"/>
        </w:rPr>
        <w:t>o declaración responsable indicando que los análisis de riesgos incluidos en la solicitud de Autorización (Título Habilitante) están en vigor para las operaciones de repostaje objeto de la solicitud de autorización técnica (incluir los datos de los análisis de riesgos realizados. Se citan tres ejemplos):</w:t>
      </w:r>
      <w:r w:rsidRPr="00755231">
        <w:rPr>
          <w:rFonts w:ascii="Century Gothic" w:eastAsia="Calibri" w:hAnsi="Century Gothic" w:cs="Times New Roman"/>
        </w:rPr>
        <w:t xml:space="preserve"> </w:t>
      </w:r>
    </w:p>
    <w:p w14:paraId="2E80BD37" w14:textId="77777777" w:rsidR="004A3B54" w:rsidRPr="00755231" w:rsidRDefault="004A3B54" w:rsidP="006965D8">
      <w:pPr>
        <w:numPr>
          <w:ilvl w:val="1"/>
          <w:numId w:val="64"/>
        </w:numPr>
        <w:spacing w:before="120" w:after="120" w:line="276" w:lineRule="auto"/>
        <w:jc w:val="both"/>
        <w:rPr>
          <w:rFonts w:ascii="Century Gothic" w:eastAsia="Calibri" w:hAnsi="Century Gothic" w:cs="Times New Roman"/>
        </w:rPr>
      </w:pPr>
      <w:r w:rsidRPr="00755231">
        <w:rPr>
          <w:rFonts w:ascii="Century Gothic" w:eastAsia="Times New Roman" w:hAnsi="Century Gothic" w:cs="Times New Roman"/>
        </w:rPr>
        <w:t>Estudio cualitativo de riesgos HAZID según el apartado 7 de la especificación técnica ISO TS 18683.</w:t>
      </w:r>
    </w:p>
    <w:p w14:paraId="1BE7B0F0" w14:textId="77777777" w:rsidR="004A3B54" w:rsidRPr="00755231" w:rsidRDefault="004A3B54" w:rsidP="006965D8">
      <w:pPr>
        <w:numPr>
          <w:ilvl w:val="1"/>
          <w:numId w:val="64"/>
        </w:numPr>
        <w:spacing w:before="120" w:after="120" w:line="276" w:lineRule="auto"/>
        <w:jc w:val="both"/>
        <w:rPr>
          <w:rFonts w:ascii="Century Gothic" w:eastAsia="Calibri" w:hAnsi="Century Gothic" w:cs="Times New Roman"/>
        </w:rPr>
      </w:pPr>
      <w:r w:rsidRPr="00755231">
        <w:rPr>
          <w:rFonts w:ascii="Century Gothic" w:eastAsia="Times New Roman" w:hAnsi="Century Gothic" w:cs="Times New Roman"/>
        </w:rPr>
        <w:t>Estudio de Análisis de Consecuencias (EAC) según Art. 2.3.2 del Real Decreto 1196/2003. Todo ello para establecer las zonas de planificación en caso de escape (zona de efecto dominó, zona de intervención y zona de alerta).</w:t>
      </w:r>
    </w:p>
    <w:p w14:paraId="227BA561" w14:textId="77777777" w:rsidR="004A3B54" w:rsidRPr="00755231" w:rsidRDefault="004A3B54" w:rsidP="006965D8">
      <w:pPr>
        <w:numPr>
          <w:ilvl w:val="1"/>
          <w:numId w:val="64"/>
        </w:numPr>
        <w:spacing w:before="120" w:after="120" w:line="276" w:lineRule="auto"/>
        <w:jc w:val="both"/>
        <w:rPr>
          <w:rFonts w:ascii="Century Gothic" w:eastAsia="Microsoft Sans Serif" w:hAnsi="Century Gothic" w:cs="Microsoft Sans Serif"/>
        </w:rPr>
      </w:pPr>
      <w:r w:rsidRPr="00755231">
        <w:rPr>
          <w:rFonts w:ascii="Century Gothic" w:eastAsia="Times New Roman" w:hAnsi="Century Gothic" w:cs="Times New Roman"/>
        </w:rPr>
        <w:t xml:space="preserve">Análisis Cuantitativo de Riesgos (ACR). </w:t>
      </w:r>
      <w:r w:rsidRPr="00755231">
        <w:rPr>
          <w:rFonts w:ascii="Century Gothic" w:eastAsia="Calibri" w:hAnsi="Century Gothic" w:cs="Times New Roman"/>
        </w:rPr>
        <w:t>Para el desarrollo del ACR, se usará como guía metodológica y referencia principal de frecuencias de fallo el manual BEVI 3.2, o última versión disponible en inglés del Purple Book.). Será necesario si el buque tiene previsto realizar operaciones simultáneas SIMOPS.</w:t>
      </w:r>
    </w:p>
    <w:p w14:paraId="7C844AEF" w14:textId="77777777" w:rsidR="004A3B54" w:rsidRPr="00DA6C2E" w:rsidRDefault="004A3B54" w:rsidP="004A3B54">
      <w:pPr>
        <w:spacing w:before="120" w:after="120" w:line="276" w:lineRule="auto"/>
        <w:ind w:left="284"/>
        <w:jc w:val="both"/>
        <w:rPr>
          <w:rFonts w:ascii="Century Gothic" w:eastAsia="Calibri" w:hAnsi="Century Gothic" w:cs="Arial"/>
          <w:b/>
          <w:bCs/>
        </w:rPr>
      </w:pPr>
      <w:r w:rsidRPr="00DA6C2E">
        <w:rPr>
          <w:rFonts w:ascii="Century Gothic" w:eastAsia="Times New Roman" w:hAnsi="Century Gothic" w:cs="Times New Roman"/>
          <w:b/>
          <w:bCs/>
        </w:rPr>
        <w:t>En caso de que la operativa de suministro de GNL a realizar no esté contemplada en los Análisis de riesgos genéricos existentes en el puerto</w:t>
      </w:r>
      <w:r>
        <w:rPr>
          <w:rFonts w:ascii="Century Gothic" w:eastAsia="Times New Roman" w:hAnsi="Century Gothic" w:cs="Times New Roman"/>
          <w:b/>
          <w:bCs/>
        </w:rPr>
        <w:t xml:space="preserve"> o en los </w:t>
      </w:r>
      <w:r w:rsidRPr="00291B41">
        <w:rPr>
          <w:rFonts w:ascii="Century Gothic" w:eastAsia="Times New Roman" w:hAnsi="Century Gothic" w:cs="Times New Roman"/>
          <w:b/>
          <w:bCs/>
        </w:rPr>
        <w:t>análisis de riesgos incluidos en la solicitud de Autorización (Título Habilitante)</w:t>
      </w:r>
      <w:r w:rsidRPr="00DA6C2E">
        <w:rPr>
          <w:rFonts w:ascii="Century Gothic" w:eastAsia="Times New Roman" w:hAnsi="Century Gothic" w:cs="Times New Roman"/>
        </w:rPr>
        <w:t xml:space="preserve">, o bien el suministrador no se adhiera a los análisis de riesgos genéricos realizados, </w:t>
      </w:r>
      <w:r w:rsidRPr="00DA6C2E">
        <w:rPr>
          <w:rFonts w:ascii="Century Gothic" w:eastAsia="Times New Roman" w:hAnsi="Century Gothic" w:cs="Times New Roman"/>
          <w:b/>
          <w:bCs/>
        </w:rPr>
        <w:t xml:space="preserve">se presentarán análisis de riesgos (HAZID, ACR y EAC) específicos para el estudio de la operativa concreta. </w:t>
      </w:r>
    </w:p>
    <w:p w14:paraId="7A3BA4B6" w14:textId="77777777" w:rsidR="004A3B54" w:rsidRPr="00DA6C2E" w:rsidRDefault="004A3B54" w:rsidP="006965D8">
      <w:pPr>
        <w:numPr>
          <w:ilvl w:val="0"/>
          <w:numId w:val="64"/>
        </w:numPr>
        <w:spacing w:before="120" w:after="120" w:line="276" w:lineRule="auto"/>
        <w:jc w:val="both"/>
        <w:rPr>
          <w:rFonts w:ascii="Century Gothic" w:eastAsia="Times New Roman" w:hAnsi="Century Gothic" w:cs="Times New Roman"/>
        </w:rPr>
      </w:pPr>
      <w:r w:rsidRPr="00DA6C2E">
        <w:rPr>
          <w:rFonts w:ascii="Century Gothic" w:eastAsia="Times New Roman" w:hAnsi="Century Gothic" w:cs="Times New Roman"/>
        </w:rPr>
        <w:t xml:space="preserve">Únicamente en caso de que la operación necesite que las distancias de seguridad sean inferiores a las establecidas por defecto en las Condiciones Técnicas (por ejemplo, cuando las distancias de seguridad por defecto interfieran con SIMOPS o afecten a una instalación, entre otras causas), presentación de un </w:t>
      </w:r>
      <w:r w:rsidRPr="00DA6C2E">
        <w:rPr>
          <w:rFonts w:ascii="Century Gothic" w:eastAsia="Times New Roman" w:hAnsi="Century Gothic" w:cs="Times New Roman"/>
          <w:b/>
          <w:bCs/>
        </w:rPr>
        <w:t>Estudio justificativo de distancias</w:t>
      </w:r>
      <w:r w:rsidRPr="00DA6C2E">
        <w:rPr>
          <w:rFonts w:ascii="Century Gothic" w:eastAsia="Times New Roman" w:hAnsi="Century Gothic" w:cs="Times New Roman"/>
        </w:rPr>
        <w:t xml:space="preserve"> a considerar en la operación, acompañado de un análisis cuantitativo de riesgos (ACR) que usará como guía metodológica y referencia principal de frecuencias de fallo el manual BEVI 3.2, o última versión disponible en inglés del Purple Book. </w:t>
      </w:r>
    </w:p>
    <w:p w14:paraId="5D2ADDEA" w14:textId="77777777" w:rsidR="004A3B54" w:rsidRPr="00DA6C2E" w:rsidRDefault="004A3B54" w:rsidP="006965D8">
      <w:pPr>
        <w:numPr>
          <w:ilvl w:val="0"/>
          <w:numId w:val="64"/>
        </w:numPr>
        <w:spacing w:before="120" w:after="120" w:line="276" w:lineRule="auto"/>
        <w:jc w:val="both"/>
        <w:rPr>
          <w:rFonts w:ascii="Century Gothic" w:eastAsia="Times New Roman" w:hAnsi="Century Gothic" w:cs="Times New Roman"/>
        </w:rPr>
      </w:pPr>
      <w:r w:rsidRPr="00DA6C2E">
        <w:rPr>
          <w:rFonts w:ascii="Century Gothic" w:eastAsia="Times New Roman" w:hAnsi="Century Gothic" w:cs="Times New Roman"/>
          <w:b/>
          <w:bCs/>
        </w:rPr>
        <w:lastRenderedPageBreak/>
        <w:t>Estudio de compatibilidad</w:t>
      </w:r>
      <w:r w:rsidRPr="00DA6C2E">
        <w:rPr>
          <w:rFonts w:ascii="Century Gothic" w:eastAsia="Times New Roman" w:hAnsi="Century Gothic" w:cs="Times New Roman"/>
        </w:rPr>
        <w:t xml:space="preserve"> entre suministrador y tipos de buques receptores.</w:t>
      </w:r>
      <w:r w:rsidRPr="00A57DB7">
        <w:rPr>
          <w:rFonts w:ascii="Century Gothic" w:eastAsia="Microsoft Sans Serif" w:hAnsi="Century Gothic" w:cs="Microsoft Sans Serif"/>
        </w:rPr>
        <w:t xml:space="preserve"> </w:t>
      </w:r>
      <w:r>
        <w:rPr>
          <w:rFonts w:ascii="Century Gothic" w:eastAsia="Microsoft Sans Serif" w:hAnsi="Century Gothic" w:cs="Microsoft Sans Serif"/>
        </w:rPr>
        <w:t>S</w:t>
      </w:r>
      <w:r w:rsidRPr="00DA6C2E">
        <w:rPr>
          <w:rFonts w:ascii="Century Gothic" w:eastAsia="Microsoft Sans Serif" w:hAnsi="Century Gothic" w:cs="Microsoft Sans Serif"/>
        </w:rPr>
        <w:t xml:space="preserve">e incluirá una descripción de los acoples a utilizar y su compatibilidad con los acoples del buque receptor e indicará la necesidad, o no, de uso de </w:t>
      </w:r>
      <w:r>
        <w:rPr>
          <w:rFonts w:ascii="Century Gothic" w:eastAsia="Microsoft Sans Serif" w:hAnsi="Century Gothic" w:cs="Microsoft Sans Serif"/>
        </w:rPr>
        <w:t>adaptadores</w:t>
      </w:r>
      <w:r w:rsidRPr="00DA6C2E">
        <w:rPr>
          <w:rFonts w:ascii="Century Gothic" w:eastAsia="Microsoft Sans Serif" w:hAnsi="Century Gothic" w:cs="Microsoft Sans Serif"/>
        </w:rPr>
        <w:t>, así como sus características</w:t>
      </w:r>
    </w:p>
    <w:p w14:paraId="50904754" w14:textId="77777777" w:rsidR="004A3B54" w:rsidRPr="00DA6C2E" w:rsidRDefault="004A3B54" w:rsidP="006965D8">
      <w:pPr>
        <w:numPr>
          <w:ilvl w:val="0"/>
          <w:numId w:val="64"/>
        </w:numPr>
        <w:spacing w:before="120" w:after="120" w:line="276" w:lineRule="auto"/>
        <w:jc w:val="both"/>
        <w:rPr>
          <w:rFonts w:ascii="Century Gothic" w:eastAsia="Times New Roman" w:hAnsi="Century Gothic" w:cs="Times New Roman"/>
        </w:rPr>
      </w:pPr>
      <w:r w:rsidRPr="00DA6C2E">
        <w:rPr>
          <w:rFonts w:ascii="Century Gothic" w:eastAsia="Times New Roman" w:hAnsi="Century Gothic" w:cs="Times New Roman"/>
        </w:rPr>
        <w:t>Plan de gestión del boil off, tanto en los tanques del suministrador como en los del/los buques receptores</w:t>
      </w:r>
      <w:r>
        <w:rPr>
          <w:rFonts w:ascii="Century Gothic" w:eastAsia="Times New Roman" w:hAnsi="Century Gothic" w:cs="Times New Roman"/>
        </w:rPr>
        <w:t>, si difiere de lo establecido en la documentación asociada a la Autorización (Título Habilitante)</w:t>
      </w:r>
      <w:r w:rsidRPr="00DA6C2E">
        <w:rPr>
          <w:rFonts w:ascii="Century Gothic" w:eastAsia="Times New Roman" w:hAnsi="Century Gothic" w:cs="Times New Roman"/>
        </w:rPr>
        <w:t>.</w:t>
      </w:r>
    </w:p>
    <w:p w14:paraId="4A0D3BE1" w14:textId="77777777" w:rsidR="004A3B54" w:rsidRPr="00DA6C2E" w:rsidRDefault="004A3B54" w:rsidP="006965D8">
      <w:pPr>
        <w:numPr>
          <w:ilvl w:val="0"/>
          <w:numId w:val="64"/>
        </w:numPr>
        <w:spacing w:before="120" w:after="120" w:line="276" w:lineRule="auto"/>
        <w:jc w:val="both"/>
        <w:rPr>
          <w:rFonts w:ascii="Century Gothic" w:eastAsia="Times New Roman" w:hAnsi="Century Gothic" w:cs="Times New Roman"/>
        </w:rPr>
      </w:pPr>
      <w:r w:rsidRPr="00DA6C2E">
        <w:rPr>
          <w:rFonts w:ascii="Century Gothic" w:eastAsia="Calibri" w:hAnsi="Century Gothic" w:cs="Times New Roman"/>
          <w:b/>
          <w:bCs/>
        </w:rPr>
        <w:t>Planes de respuesta a emergencias</w:t>
      </w:r>
      <w:r w:rsidRPr="00DA6C2E">
        <w:rPr>
          <w:rFonts w:ascii="Century Gothic" w:eastAsia="Calibri" w:hAnsi="Century Gothic" w:cs="Times New Roman"/>
        </w:rPr>
        <w:t>, que deberán incluir:</w:t>
      </w:r>
    </w:p>
    <w:p w14:paraId="78BF02D2" w14:textId="77777777" w:rsidR="004A3B54" w:rsidRPr="00DA6C2E" w:rsidRDefault="004A3B54" w:rsidP="006965D8">
      <w:pPr>
        <w:widowControl w:val="0"/>
        <w:numPr>
          <w:ilvl w:val="1"/>
          <w:numId w:val="64"/>
        </w:numPr>
        <w:autoSpaceDE w:val="0"/>
        <w:autoSpaceDN w:val="0"/>
        <w:spacing w:before="120" w:after="120" w:line="276" w:lineRule="auto"/>
        <w:jc w:val="both"/>
        <w:rPr>
          <w:rFonts w:ascii="Century Gothic" w:eastAsia="Microsoft Sans Serif" w:hAnsi="Century Gothic" w:cs="Microsoft Sans Serif"/>
        </w:rPr>
      </w:pPr>
      <w:r w:rsidRPr="00DA6C2E">
        <w:rPr>
          <w:rFonts w:ascii="Century Gothic" w:eastAsia="Microsoft Sans Serif" w:hAnsi="Century Gothic" w:cs="Microsoft Sans Serif"/>
        </w:rPr>
        <w:t xml:space="preserve">Plan de autoprotección de la operación de suministro para el control de riesgos. El alcance de este plan contemplará tanto la operación de suministro, así como toda la estancia en la zona de servicio portuaria de los medios utilizados. Este PAU debería integrarse en el PAU del puerto. </w:t>
      </w:r>
    </w:p>
    <w:p w14:paraId="52DC3B8F" w14:textId="77777777" w:rsidR="004A3B54" w:rsidRPr="00DA6C2E" w:rsidRDefault="004A3B54" w:rsidP="006965D8">
      <w:pPr>
        <w:widowControl w:val="0"/>
        <w:numPr>
          <w:ilvl w:val="1"/>
          <w:numId w:val="64"/>
        </w:numPr>
        <w:autoSpaceDE w:val="0"/>
        <w:autoSpaceDN w:val="0"/>
        <w:spacing w:before="120" w:after="120" w:line="276" w:lineRule="auto"/>
        <w:jc w:val="both"/>
        <w:rPr>
          <w:rFonts w:ascii="Century Gothic" w:eastAsia="Microsoft Sans Serif" w:hAnsi="Century Gothic" w:cs="Microsoft Sans Serif"/>
        </w:rPr>
      </w:pPr>
      <w:r w:rsidRPr="00DA6C2E">
        <w:rPr>
          <w:rFonts w:ascii="Century Gothic" w:eastAsia="Microsoft Sans Serif" w:hAnsi="Century Gothic" w:cs="Microsoft Sans Serif"/>
        </w:rPr>
        <w:t>En caso de que la operativa de suministro de GNL se realice en una zona concesionada o terminal, se deberá presentar una carta firmada por un representante de esta concesión o terminal en la que dé el visto bueno a la realización de operativas de suministro de GNL en los muelles adyacentes a su concesión o terminal. En caso de que el muelle no esté concesionado, el consignatario del buque receptor presentará esta carta de visto bueno a la realización de operativas de suministro de GNL y a la aceptación de la realización de las funciones de COS por parte del consignatario.</w:t>
      </w:r>
    </w:p>
    <w:p w14:paraId="65E5ADCB" w14:textId="77777777" w:rsidR="004A3B54" w:rsidRPr="00DA6C2E" w:rsidRDefault="004A3B54" w:rsidP="004A3B54">
      <w:pPr>
        <w:spacing w:before="120" w:after="120" w:line="276" w:lineRule="auto"/>
        <w:ind w:left="720"/>
        <w:contextualSpacing/>
        <w:jc w:val="both"/>
        <w:rPr>
          <w:rFonts w:ascii="Century Gothic" w:eastAsia="Calibri" w:hAnsi="Century Gothic" w:cs="Times New Roman"/>
        </w:rPr>
      </w:pPr>
      <w:r w:rsidRPr="00DA6C2E">
        <w:rPr>
          <w:rFonts w:ascii="Century Gothic" w:eastAsia="Calibri" w:hAnsi="Century Gothic" w:cs="Times New Roman"/>
        </w:rPr>
        <w:t>La Autoridad Portuaria podrá requerir otra documentación adicional que considere necesaria para resolver la autorización técnica.</w:t>
      </w:r>
    </w:p>
    <w:p w14:paraId="37494493" w14:textId="77777777" w:rsidR="004A3B54" w:rsidRPr="00DA6C2E" w:rsidRDefault="004A3B54" w:rsidP="004A3B54">
      <w:pPr>
        <w:spacing w:before="120" w:after="120" w:line="276" w:lineRule="auto"/>
        <w:ind w:left="720"/>
        <w:contextualSpacing/>
        <w:jc w:val="both"/>
        <w:rPr>
          <w:rFonts w:ascii="Century Gothic" w:eastAsia="Calibri" w:hAnsi="Century Gothic" w:cs="Times New Roman"/>
        </w:rPr>
      </w:pPr>
      <w:r w:rsidRPr="00DA6C2E">
        <w:rPr>
          <w:rFonts w:ascii="Century Gothic" w:eastAsia="Calibri" w:hAnsi="Century Gothic" w:cs="Times New Roman"/>
        </w:rPr>
        <w:t>Para las operaciones que se realicen en plantas de regasificación, la Autoridad Portuaria y/o la planta podrá requerir documentación técnica adicional que considere necesaria para realizar la operación independientemente de la requerida para obtención de esta autorización técnica.</w:t>
      </w:r>
    </w:p>
    <w:p w14:paraId="10D89099" w14:textId="77777777" w:rsidR="004A3B54" w:rsidRPr="00DA6C2E" w:rsidRDefault="004A3B54" w:rsidP="004A3B54">
      <w:pPr>
        <w:spacing w:before="120" w:after="120" w:line="276" w:lineRule="auto"/>
        <w:ind w:left="720"/>
        <w:contextualSpacing/>
        <w:jc w:val="both"/>
        <w:rPr>
          <w:rFonts w:ascii="Century Gothic" w:eastAsia="Calibri" w:hAnsi="Century Gothic" w:cs="Times New Roman"/>
        </w:rPr>
      </w:pPr>
    </w:p>
    <w:p w14:paraId="5F300536" w14:textId="77777777" w:rsidR="004A3B54" w:rsidRPr="00DA6C2E" w:rsidRDefault="004A3B54" w:rsidP="006965D8">
      <w:pPr>
        <w:numPr>
          <w:ilvl w:val="0"/>
          <w:numId w:val="64"/>
        </w:numPr>
        <w:spacing w:before="120" w:after="120" w:line="276" w:lineRule="auto"/>
        <w:contextualSpacing/>
        <w:jc w:val="both"/>
        <w:rPr>
          <w:rFonts w:ascii="Century Gothic" w:eastAsia="Times New Roman" w:hAnsi="Century Gothic" w:cs="Times New Roman"/>
          <w:b/>
          <w:bCs/>
        </w:rPr>
      </w:pPr>
      <w:r w:rsidRPr="00DA6C2E">
        <w:rPr>
          <w:rFonts w:ascii="Century Gothic" w:eastAsia="Times New Roman" w:hAnsi="Century Gothic" w:cs="Times New Roman"/>
          <w:b/>
          <w:bCs/>
        </w:rPr>
        <w:t>Habilitación de buques receptores y ubicaciones</w:t>
      </w:r>
    </w:p>
    <w:p w14:paraId="5044DB55" w14:textId="77777777" w:rsidR="004A3B54" w:rsidRPr="00DA6C2E" w:rsidRDefault="004A3B54" w:rsidP="006965D8">
      <w:pPr>
        <w:widowControl w:val="0"/>
        <w:numPr>
          <w:ilvl w:val="0"/>
          <w:numId w:val="59"/>
        </w:numPr>
        <w:autoSpaceDE w:val="0"/>
        <w:autoSpaceDN w:val="0"/>
        <w:spacing w:before="120" w:after="120" w:line="276" w:lineRule="auto"/>
        <w:jc w:val="both"/>
        <w:rPr>
          <w:rFonts w:ascii="Century Gothic" w:eastAsia="Microsoft Sans Serif" w:hAnsi="Century Gothic" w:cs="Microsoft Sans Serif"/>
        </w:rPr>
      </w:pPr>
      <w:r w:rsidRPr="00DA6C2E">
        <w:rPr>
          <w:rFonts w:ascii="Century Gothic" w:eastAsia="Microsoft Sans Serif" w:hAnsi="Century Gothic" w:cs="Microsoft Sans Serif"/>
        </w:rPr>
        <w:t>Plano de ubicación de los equipos de suministro y del buque receptor</w:t>
      </w:r>
      <w:r>
        <w:rPr>
          <w:rFonts w:ascii="Century Gothic" w:eastAsia="Microsoft Sans Serif" w:hAnsi="Century Gothic" w:cs="Microsoft Sans Serif"/>
        </w:rPr>
        <w:t>, si difieren de la documentación presentada con la solicitud de Autorización (Título Habilitante)</w:t>
      </w:r>
      <w:r w:rsidRPr="00DA6C2E">
        <w:rPr>
          <w:rFonts w:ascii="Century Gothic" w:eastAsia="Microsoft Sans Serif" w:hAnsi="Century Gothic" w:cs="Microsoft Sans Serif"/>
        </w:rPr>
        <w:t>. Se presentarán planos detallados de la zona de ubicación del suministro de GNL, que incluirán los elementos del muelle o de la terminal próximos al punto de suministro, así como se señalarán claramente las distancias derivadas del estudio EAC (zona de efecto dominó, zona de intervención y zona de alerta), las isolíneas de riesgo individual aceptable (10</w:t>
      </w:r>
      <w:r w:rsidRPr="00DA6C2E">
        <w:rPr>
          <w:rFonts w:ascii="Century Gothic" w:eastAsia="Microsoft Sans Serif" w:hAnsi="Century Gothic" w:cs="Microsoft Sans Serif"/>
          <w:vertAlign w:val="superscript"/>
        </w:rPr>
        <w:t>-6</w:t>
      </w:r>
      <w:r w:rsidRPr="00DA6C2E">
        <w:rPr>
          <w:rFonts w:ascii="Century Gothic" w:eastAsia="Microsoft Sans Serif" w:hAnsi="Century Gothic" w:cs="Microsoft Sans Serif"/>
        </w:rPr>
        <w:t xml:space="preserve"> y 10</w:t>
      </w:r>
      <w:r w:rsidRPr="00DA6C2E">
        <w:rPr>
          <w:rFonts w:ascii="Century Gothic" w:eastAsia="Microsoft Sans Serif" w:hAnsi="Century Gothic" w:cs="Microsoft Sans Serif"/>
          <w:vertAlign w:val="superscript"/>
        </w:rPr>
        <w:t>-5</w:t>
      </w:r>
      <w:r w:rsidRPr="00DA6C2E">
        <w:rPr>
          <w:rFonts w:ascii="Century Gothic" w:eastAsia="Microsoft Sans Serif" w:hAnsi="Century Gothic" w:cs="Microsoft Sans Serif"/>
        </w:rPr>
        <w:t xml:space="preserve">) derivadas del ACR, las distancias de seguridad y las zonas de protección contra explosiones ATEX o EX. Se grafiarán las medidas de prevención ubicadas en el muelle, los vallados de seguridad, los elementos de protección contra choques, los elementos de extinción de incendios o las rutas de escape de </w:t>
      </w:r>
      <w:r>
        <w:rPr>
          <w:rFonts w:ascii="Century Gothic" w:eastAsia="Microsoft Sans Serif" w:hAnsi="Century Gothic" w:cs="Microsoft Sans Serif"/>
        </w:rPr>
        <w:t>vehículos</w:t>
      </w:r>
      <w:r w:rsidRPr="00DA6C2E">
        <w:rPr>
          <w:rFonts w:ascii="Century Gothic" w:eastAsia="Microsoft Sans Serif" w:hAnsi="Century Gothic" w:cs="Microsoft Sans Serif"/>
        </w:rPr>
        <w:t xml:space="preserve"> y del personal portuario en caso de </w:t>
      </w:r>
      <w:r w:rsidRPr="00DA6C2E">
        <w:rPr>
          <w:rFonts w:ascii="Century Gothic" w:eastAsia="Microsoft Sans Serif" w:hAnsi="Century Gothic" w:cs="Microsoft Sans Serif"/>
        </w:rPr>
        <w:lastRenderedPageBreak/>
        <w:t>emergencia. Estos planos dispondrán de cajetín con la firma del técnico responsable, escala e indicación del norte.</w:t>
      </w:r>
    </w:p>
    <w:p w14:paraId="7C9F293C" w14:textId="77777777" w:rsidR="004A3B54" w:rsidRPr="00DA6C2E" w:rsidRDefault="004A3B54" w:rsidP="006965D8">
      <w:pPr>
        <w:widowControl w:val="0"/>
        <w:numPr>
          <w:ilvl w:val="0"/>
          <w:numId w:val="59"/>
        </w:numPr>
        <w:autoSpaceDE w:val="0"/>
        <w:autoSpaceDN w:val="0"/>
        <w:spacing w:before="120" w:after="120" w:line="276" w:lineRule="auto"/>
        <w:jc w:val="both"/>
        <w:rPr>
          <w:rFonts w:ascii="Century Gothic" w:eastAsia="Microsoft Sans Serif" w:hAnsi="Century Gothic" w:cs="Microsoft Sans Serif"/>
        </w:rPr>
      </w:pPr>
      <w:r w:rsidRPr="00DA6C2E">
        <w:rPr>
          <w:rFonts w:ascii="Century Gothic" w:eastAsia="Microsoft Sans Serif" w:hAnsi="Century Gothic" w:cs="Microsoft Sans Serif"/>
        </w:rPr>
        <w:t>Procedimiento de comunicación en caso de emergencia entre el suministrador, buque receptor y terminal, en caso de que la operación se realice una zona concesionada. Se presentarán los métodos de contacto (números de teléfono, frecuencia VHF etc) y personas al cargo (COS, ROS, Capitán u oficial designado). El Coordinador de la operación de suministro (COS), que debe estar familiarizado con el muelle o la terminal y con las operaciones que allí se realizan, puede pertenecer a la terminal, en caso de zonas concesionadas, o al consignatario del buque receptor. Será el encargado de activar el plan de autoprotección de la operación</w:t>
      </w:r>
      <w:r>
        <w:rPr>
          <w:rFonts w:ascii="Century Gothic" w:eastAsia="Microsoft Sans Serif" w:hAnsi="Century Gothic" w:cs="Microsoft Sans Serif"/>
        </w:rPr>
        <w:t>, o según esté dispuesto en dicho plan</w:t>
      </w:r>
      <w:r w:rsidRPr="00DA6C2E">
        <w:rPr>
          <w:rFonts w:ascii="Century Gothic" w:eastAsia="Microsoft Sans Serif" w:hAnsi="Century Gothic" w:cs="Microsoft Sans Serif"/>
        </w:rPr>
        <w:t xml:space="preserve"> y de dar aviso para la activación de los PAU superiores (terminal, puerto etc). </w:t>
      </w:r>
    </w:p>
    <w:p w14:paraId="00FDEF71" w14:textId="77777777" w:rsidR="004A3B54" w:rsidRPr="00DA6C2E" w:rsidRDefault="004A3B54" w:rsidP="006965D8">
      <w:pPr>
        <w:numPr>
          <w:ilvl w:val="0"/>
          <w:numId w:val="59"/>
        </w:numPr>
        <w:spacing w:before="120" w:after="120" w:line="276" w:lineRule="auto"/>
        <w:jc w:val="both"/>
        <w:rPr>
          <w:rFonts w:ascii="Century Gothic" w:eastAsia="Times New Roman" w:hAnsi="Century Gothic" w:cs="Times New Roman"/>
        </w:rPr>
      </w:pPr>
      <w:r w:rsidRPr="00DA6C2E">
        <w:rPr>
          <w:rFonts w:ascii="Century Gothic" w:eastAsia="Times New Roman" w:hAnsi="Century Gothic" w:cs="Times New Roman"/>
        </w:rPr>
        <w:t>Contacto del Designated Person ashore (DPA) del buque receptor, persona responsable de la seguridad del buque receptor según su Sistema de Gestión de la Seguridad (ISM).</w:t>
      </w:r>
    </w:p>
    <w:p w14:paraId="28D77348" w14:textId="77777777" w:rsidR="004A3B54" w:rsidRPr="00DA6C2E" w:rsidRDefault="004A3B54" w:rsidP="006965D8">
      <w:pPr>
        <w:numPr>
          <w:ilvl w:val="0"/>
          <w:numId w:val="59"/>
        </w:numPr>
        <w:spacing w:before="120" w:after="120" w:line="276" w:lineRule="auto"/>
        <w:jc w:val="both"/>
        <w:rPr>
          <w:rFonts w:ascii="Century Gothic" w:eastAsia="Times New Roman" w:hAnsi="Century Gothic" w:cs="Times New Roman"/>
        </w:rPr>
      </w:pPr>
      <w:r w:rsidRPr="00DA6C2E">
        <w:rPr>
          <w:rFonts w:ascii="Century Gothic" w:eastAsia="Times New Roman" w:hAnsi="Century Gothic" w:cs="Times New Roman"/>
        </w:rPr>
        <w:t>SIMOPS: En caso de que existan operaciones simultáneas (SIMOPS), documento explicativo o tabla breve que indique las SIMOPS previstas, tanto en los medios suministradores, en el buque receptor o en el muelle (o terminal, en caso de estar la zona concesionada) durante la operación de suministro de GNL; la distancia aproximada de estas SIMOPS al punto de suministro (bunker station), así como las medidas adicionales aplicadas para mitigar el riesgo, tanto en el buque suministrador, en el buque receptor, así como en el muelle. A modo de ejemplo sobre el tipo de información que se solicita, estas medidas adicionales para mitigar el riesgo pueden ser prohibir la presencia de pasaje en las cubiertas situadas sobre la zona de suministro, prohibir la descarga de vehículos pesados hasta que no finalice la operación de suministro, cierre de conductos de ventilación situados en la zona de seguridad o medidas de vigilancia y control del pasaje, entre otros muchos ejemplos.</w:t>
      </w:r>
    </w:p>
    <w:p w14:paraId="6C6E5198" w14:textId="77777777" w:rsidR="004A3B54" w:rsidRPr="00DA6C2E" w:rsidRDefault="004A3B54" w:rsidP="006965D8">
      <w:pPr>
        <w:numPr>
          <w:ilvl w:val="0"/>
          <w:numId w:val="59"/>
        </w:numPr>
        <w:spacing w:before="120" w:after="120" w:line="276" w:lineRule="auto"/>
        <w:jc w:val="both"/>
        <w:rPr>
          <w:rFonts w:ascii="Century Gothic" w:eastAsia="Times New Roman" w:hAnsi="Century Gothic" w:cs="Times New Roman"/>
        </w:rPr>
      </w:pPr>
      <w:r w:rsidRPr="00DA6C2E">
        <w:rPr>
          <w:rFonts w:ascii="Century Gothic" w:eastAsia="Times New Roman" w:hAnsi="Century Gothic" w:cs="Times New Roman"/>
        </w:rPr>
        <w:t xml:space="preserve">Declaración responsable firmada por el DPA de la empresa ISM doc holder del buque receptor indicando que se mantienen en vigor los siguientes certificados: </w:t>
      </w:r>
    </w:p>
    <w:p w14:paraId="5F3D21A6" w14:textId="77777777" w:rsidR="004A3B54" w:rsidRPr="00DA6C2E" w:rsidRDefault="004A3B54" w:rsidP="006965D8">
      <w:pPr>
        <w:numPr>
          <w:ilvl w:val="1"/>
          <w:numId w:val="60"/>
        </w:numPr>
        <w:spacing w:before="120" w:after="120" w:line="276" w:lineRule="auto"/>
        <w:ind w:left="1843"/>
        <w:jc w:val="both"/>
        <w:rPr>
          <w:rFonts w:ascii="Century Gothic" w:eastAsia="Times New Roman" w:hAnsi="Century Gothic" w:cs="Times New Roman"/>
        </w:rPr>
      </w:pPr>
      <w:r w:rsidRPr="00DA6C2E">
        <w:rPr>
          <w:rFonts w:ascii="Century Gothic" w:eastAsia="Times New Roman" w:hAnsi="Century Gothic" w:cs="Times New Roman"/>
        </w:rPr>
        <w:t>Certificado de Clase de los buques receptores.</w:t>
      </w:r>
    </w:p>
    <w:p w14:paraId="4740D56A" w14:textId="77777777" w:rsidR="004A3B54" w:rsidRPr="00DA6C2E" w:rsidRDefault="004A3B54" w:rsidP="006965D8">
      <w:pPr>
        <w:numPr>
          <w:ilvl w:val="1"/>
          <w:numId w:val="60"/>
        </w:numPr>
        <w:spacing w:before="120" w:after="120" w:line="276" w:lineRule="auto"/>
        <w:ind w:left="1843"/>
        <w:jc w:val="both"/>
        <w:rPr>
          <w:rFonts w:ascii="Century Gothic" w:eastAsia="Times New Roman" w:hAnsi="Century Gothic" w:cs="Times New Roman"/>
        </w:rPr>
      </w:pPr>
      <w:r w:rsidRPr="00DA6C2E">
        <w:rPr>
          <w:rFonts w:ascii="Century Gothic" w:eastAsia="Times New Roman" w:hAnsi="Century Gothic" w:cs="Times New Roman"/>
        </w:rPr>
        <w:t>Certificado del Sistema de Gestión de la Seguridad (ISM) de los buques receptores.</w:t>
      </w:r>
    </w:p>
    <w:p w14:paraId="1D4823DE" w14:textId="77777777" w:rsidR="004A3B54" w:rsidRPr="00DA6C2E" w:rsidRDefault="004A3B54" w:rsidP="006965D8">
      <w:pPr>
        <w:numPr>
          <w:ilvl w:val="1"/>
          <w:numId w:val="60"/>
        </w:numPr>
        <w:spacing w:before="120" w:after="120" w:line="276" w:lineRule="auto"/>
        <w:ind w:left="1843"/>
        <w:jc w:val="both"/>
        <w:rPr>
          <w:rFonts w:ascii="Century Gothic" w:eastAsia="Times New Roman" w:hAnsi="Century Gothic" w:cs="Times New Roman"/>
        </w:rPr>
      </w:pPr>
      <w:r w:rsidRPr="00DA6C2E">
        <w:rPr>
          <w:rFonts w:ascii="Century Gothic" w:eastAsia="Times New Roman" w:hAnsi="Century Gothic" w:cs="Times New Roman"/>
        </w:rPr>
        <w:t>Los buques receptores de pasaje deberán cumplir con la parte G del Capítulo II-1 del Convenio SOLAS, lo cual debe quedar reflejado en la casilla correspondiente de sus respectivos Certificados Internacionales de Seguridad de Buques de Pasaje.</w:t>
      </w:r>
    </w:p>
    <w:p w14:paraId="7394C5C0" w14:textId="77777777" w:rsidR="004A3B54" w:rsidRPr="00DA6C2E" w:rsidRDefault="004A3B54" w:rsidP="006965D8">
      <w:pPr>
        <w:numPr>
          <w:ilvl w:val="1"/>
          <w:numId w:val="60"/>
        </w:numPr>
        <w:spacing w:before="120" w:after="120" w:line="276" w:lineRule="auto"/>
        <w:ind w:left="1843"/>
        <w:jc w:val="both"/>
        <w:rPr>
          <w:rFonts w:ascii="Century Gothic" w:eastAsia="Times New Roman" w:hAnsi="Century Gothic" w:cs="Times New Roman"/>
        </w:rPr>
      </w:pPr>
      <w:r w:rsidRPr="00DA6C2E">
        <w:rPr>
          <w:rFonts w:ascii="Century Gothic" w:eastAsia="Times New Roman" w:hAnsi="Century Gothic" w:cs="Times New Roman"/>
        </w:rPr>
        <w:lastRenderedPageBreak/>
        <w:t>Los buques receptores que sean Naves de Gran Velocidad cumplirán con la parte G del Capítulo II-1 del Convenio SOLAS, es decir, deberá cumplir con lo prescrito en el Código IGF, lo cual deberá quedar acreditado mediante un escrito oficial de la Administración de bandera.</w:t>
      </w:r>
    </w:p>
    <w:p w14:paraId="2D73493E" w14:textId="77777777" w:rsidR="004A3B54" w:rsidRPr="00DA6C2E" w:rsidRDefault="004A3B54" w:rsidP="006965D8">
      <w:pPr>
        <w:numPr>
          <w:ilvl w:val="1"/>
          <w:numId w:val="60"/>
        </w:numPr>
        <w:spacing w:before="120" w:after="120" w:line="276" w:lineRule="auto"/>
        <w:ind w:left="1843"/>
        <w:jc w:val="both"/>
        <w:rPr>
          <w:rFonts w:ascii="Century Gothic" w:eastAsia="Times New Roman" w:hAnsi="Century Gothic" w:cs="Times New Roman"/>
        </w:rPr>
      </w:pPr>
      <w:r w:rsidRPr="00DA6C2E">
        <w:rPr>
          <w:rFonts w:ascii="Century Gothic" w:eastAsia="Times New Roman" w:hAnsi="Century Gothic" w:cs="Times New Roman"/>
        </w:rPr>
        <w:t>Los buques receptores de carga deberán cumplir con la parte G del Capítulo II-1 del Convenio SOLAS, lo cual debe quedar reflejado en la casilla correspondiente de sus respectivos Certificados Internacionales de Seguridad de Buques de Carga.</w:t>
      </w:r>
    </w:p>
    <w:p w14:paraId="3ACD97FB" w14:textId="77777777" w:rsidR="004A3B54" w:rsidRPr="00DA6C2E" w:rsidRDefault="004A3B54" w:rsidP="006965D8">
      <w:pPr>
        <w:numPr>
          <w:ilvl w:val="0"/>
          <w:numId w:val="65"/>
        </w:numPr>
        <w:spacing w:before="120" w:after="120" w:line="276" w:lineRule="auto"/>
        <w:ind w:left="567" w:hanging="283"/>
        <w:jc w:val="both"/>
        <w:rPr>
          <w:rFonts w:ascii="Century Gothic" w:eastAsia="Calibri" w:hAnsi="Century Gothic" w:cs="Arial"/>
        </w:rPr>
      </w:pPr>
      <w:bookmarkStart w:id="54" w:name="_Hlk132280083"/>
      <w:r w:rsidRPr="00DA6C2E">
        <w:rPr>
          <w:rFonts w:ascii="Century Gothic" w:eastAsia="Times New Roman" w:hAnsi="Century Gothic" w:cs="Times New Roman"/>
        </w:rPr>
        <w:t>Certificados conforme la tripulación de los buques receptores ha recibido formación específica, de conformidad con lo establecido en la Parte D del Código IGF y en la regla V/3 del Convenio STCW, es decir, formación avanzada IGF para Capitán, oficiales de máquinas y toda persona directamente responsable de las precauciones y utilización del gas, y formación básica IGF para los tripulantes encargados de cometidos específicos de seguridad vinculados a las precauciones debidas al gas, su utilización o respuesta en caso de emergencia.</w:t>
      </w:r>
      <w:bookmarkEnd w:id="54"/>
    </w:p>
    <w:p w14:paraId="7C4C4475" w14:textId="77777777" w:rsidR="004A3B54" w:rsidRDefault="004A3B54" w:rsidP="004A3B54"/>
    <w:p w14:paraId="4014824C" w14:textId="77777777" w:rsidR="00854B96" w:rsidRDefault="00854B96" w:rsidP="003457E7">
      <w:pPr>
        <w:tabs>
          <w:tab w:val="left" w:pos="1613"/>
        </w:tabs>
        <w:rPr>
          <w:lang w:eastAsia="es-ES"/>
        </w:rPr>
      </w:pPr>
    </w:p>
    <w:p w14:paraId="7FFCB234" w14:textId="77777777" w:rsidR="00854B96" w:rsidRPr="003457E7" w:rsidRDefault="00854B96" w:rsidP="003457E7">
      <w:pPr>
        <w:tabs>
          <w:tab w:val="left" w:pos="1613"/>
        </w:tabs>
        <w:rPr>
          <w:lang w:eastAsia="es-ES"/>
        </w:rPr>
      </w:pPr>
    </w:p>
    <w:sectPr w:rsidR="00854B96" w:rsidRPr="003457E7" w:rsidSect="00494F20">
      <w:headerReference w:type="even" r:id="rId18"/>
      <w:headerReference w:type="default" r:id="rId19"/>
      <w:footerReference w:type="default" r:id="rId20"/>
      <w:headerReference w:type="first" r:id="rId21"/>
      <w:pgSz w:w="11906" w:h="16838"/>
      <w:pgMar w:top="1417" w:right="1701" w:bottom="1417"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D2037" w14:textId="77777777" w:rsidR="007C39AC" w:rsidRDefault="007C39AC" w:rsidP="002C3CBD">
      <w:pPr>
        <w:spacing w:after="0" w:line="240" w:lineRule="auto"/>
      </w:pPr>
      <w:r>
        <w:separator/>
      </w:r>
    </w:p>
  </w:endnote>
  <w:endnote w:type="continuationSeparator" w:id="0">
    <w:p w14:paraId="6028CE37" w14:textId="77777777" w:rsidR="007C39AC" w:rsidRDefault="007C39AC" w:rsidP="002C3CBD">
      <w:pPr>
        <w:spacing w:after="0" w:line="240" w:lineRule="auto"/>
      </w:pPr>
      <w:r>
        <w:continuationSeparator/>
      </w:r>
    </w:p>
  </w:endnote>
  <w:endnote w:type="continuationNotice" w:id="1">
    <w:p w14:paraId="66D7F204" w14:textId="77777777" w:rsidR="007C39AC" w:rsidRDefault="007C3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49976"/>
      <w:docPartObj>
        <w:docPartGallery w:val="Page Numbers (Bottom of Page)"/>
        <w:docPartUnique/>
      </w:docPartObj>
    </w:sdtPr>
    <w:sdtEndPr/>
    <w:sdtContent>
      <w:p w14:paraId="7F019FA4" w14:textId="77777777" w:rsidR="00F1031D" w:rsidRDefault="00F1031D">
        <w:pPr>
          <w:pStyle w:val="Piedepgina"/>
          <w:jc w:val="center"/>
        </w:pPr>
      </w:p>
      <w:p w14:paraId="7C565727" w14:textId="1A6DEC5B" w:rsidR="00F1031D" w:rsidRDefault="007C39AC">
        <w:pPr>
          <w:pStyle w:val="Piedepgina"/>
          <w:jc w:val="center"/>
        </w:pPr>
      </w:p>
    </w:sdtContent>
  </w:sdt>
  <w:p w14:paraId="175A67AF" w14:textId="77777777" w:rsidR="00F1031D" w:rsidRDefault="00F103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0217"/>
      <w:docPartObj>
        <w:docPartGallery w:val="Page Numbers (Bottom of Page)"/>
        <w:docPartUnique/>
      </w:docPartObj>
    </w:sdtPr>
    <w:sdtEndPr/>
    <w:sdtContent>
      <w:p w14:paraId="1C49B980" w14:textId="77777777" w:rsidR="00F1031D" w:rsidRPr="004469E9" w:rsidRDefault="00F1031D" w:rsidP="002C3078">
        <w:pPr>
          <w:pStyle w:val="Piedepgina"/>
          <w:jc w:val="right"/>
          <w:rPr>
            <w:rFonts w:cstheme="minorHAnsi"/>
          </w:rPr>
        </w:pPr>
        <w:r w:rsidRPr="004469E9">
          <w:rPr>
            <w:rFonts w:cstheme="minorHAnsi"/>
          </w:rPr>
          <w:t xml:space="preserve">Página </w:t>
        </w:r>
        <w:r w:rsidRPr="00CA7992">
          <w:rPr>
            <w:rFonts w:cstheme="minorHAnsi"/>
          </w:rPr>
          <w:fldChar w:fldCharType="begin"/>
        </w:r>
        <w:r w:rsidRPr="00CA7992">
          <w:rPr>
            <w:rFonts w:cstheme="minorHAnsi"/>
          </w:rPr>
          <w:instrText>PAGE   \* MERGEFORMAT</w:instrText>
        </w:r>
        <w:r w:rsidRPr="00CA7992">
          <w:rPr>
            <w:rFonts w:cstheme="minorHAnsi"/>
          </w:rPr>
          <w:fldChar w:fldCharType="separate"/>
        </w:r>
        <w:r>
          <w:rPr>
            <w:rFonts w:cstheme="minorHAnsi"/>
          </w:rPr>
          <w:t>4</w:t>
        </w:r>
        <w:r w:rsidRPr="00CA7992">
          <w:rPr>
            <w:rFonts w:cstheme="minorHAnsi"/>
          </w:rPr>
          <w:fldChar w:fldCharType="end"/>
        </w:r>
      </w:p>
      <w:p w14:paraId="10086804" w14:textId="1977C49C" w:rsidR="00F1031D" w:rsidRDefault="007C39AC" w:rsidP="00F56BB4">
        <w:pPr>
          <w:pStyle w:val="Piedepgina"/>
          <w:jc w:val="center"/>
        </w:pPr>
      </w:p>
    </w:sdtContent>
  </w:sdt>
  <w:p w14:paraId="2D8B1096" w14:textId="77777777" w:rsidR="00F1031D" w:rsidRDefault="00F103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C2D4" w14:textId="77777777" w:rsidR="007C39AC" w:rsidRDefault="007C39AC" w:rsidP="002C3CBD">
      <w:pPr>
        <w:spacing w:after="0" w:line="240" w:lineRule="auto"/>
      </w:pPr>
      <w:r>
        <w:separator/>
      </w:r>
    </w:p>
  </w:footnote>
  <w:footnote w:type="continuationSeparator" w:id="0">
    <w:p w14:paraId="4E030004" w14:textId="77777777" w:rsidR="007C39AC" w:rsidRDefault="007C39AC" w:rsidP="002C3CBD">
      <w:pPr>
        <w:spacing w:after="0" w:line="240" w:lineRule="auto"/>
      </w:pPr>
      <w:r>
        <w:continuationSeparator/>
      </w:r>
    </w:p>
  </w:footnote>
  <w:footnote w:type="continuationNotice" w:id="1">
    <w:p w14:paraId="65313860" w14:textId="77777777" w:rsidR="007C39AC" w:rsidRDefault="007C39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5F66" w14:textId="77777777" w:rsidR="00F77CCA" w:rsidRDefault="00F77C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E1E7" w14:textId="77E3BA5B" w:rsidR="00F1031D" w:rsidRDefault="00F1031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B61D" w14:textId="16CA8477" w:rsidR="00F1031D" w:rsidRPr="00CF703A" w:rsidRDefault="00F1031D" w:rsidP="002C3078">
    <w:pPr>
      <w:pStyle w:val="Encabezado"/>
      <w:rPr>
        <w:rFonts w:ascii="Arial" w:hAnsi="Arial" w:cs="Arial"/>
        <w:b/>
        <w:sz w:val="18"/>
        <w:szCs w:val="18"/>
      </w:rPr>
    </w:pPr>
  </w:p>
  <w:p w14:paraId="04CD7159" w14:textId="77777777" w:rsidR="00F1031D" w:rsidRDefault="00F1031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B416" w14:textId="5CE92956" w:rsidR="00F1031D" w:rsidRDefault="00F103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B61F06"/>
    <w:lvl w:ilvl="0">
      <w:start w:val="1"/>
      <w:numFmt w:val="bullet"/>
      <w:pStyle w:val="Listaconvietas"/>
      <w:lvlText w:val=""/>
      <w:lvlJc w:val="left"/>
      <w:pPr>
        <w:tabs>
          <w:tab w:val="num" w:pos="701"/>
        </w:tabs>
        <w:ind w:left="701" w:hanging="360"/>
      </w:pPr>
      <w:rPr>
        <w:rFonts w:ascii="Symbol" w:hAnsi="Symbol" w:hint="default"/>
      </w:rPr>
    </w:lvl>
  </w:abstractNum>
  <w:abstractNum w:abstractNumId="1" w15:restartNumberingAfterBreak="0">
    <w:nsid w:val="02A63730"/>
    <w:multiLevelType w:val="hybridMultilevel"/>
    <w:tmpl w:val="AA027C3A"/>
    <w:lvl w:ilvl="0" w:tplc="1E24B03C">
      <w:start w:val="1"/>
      <w:numFmt w:val="upperLetter"/>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49F093D"/>
    <w:multiLevelType w:val="hybridMultilevel"/>
    <w:tmpl w:val="304056C2"/>
    <w:lvl w:ilvl="0" w:tplc="D458CDEC">
      <w:start w:val="1"/>
      <w:numFmt w:val="decimal"/>
      <w:lvlText w:val="%1."/>
      <w:lvlJc w:val="left"/>
      <w:pPr>
        <w:ind w:left="-986" w:hanging="360"/>
      </w:pPr>
      <w:rPr>
        <w:b w:val="0"/>
        <w:bCs w:val="0"/>
      </w:rPr>
    </w:lvl>
    <w:lvl w:ilvl="1" w:tplc="08090019" w:tentative="1">
      <w:start w:val="1"/>
      <w:numFmt w:val="lowerLetter"/>
      <w:lvlText w:val="%2."/>
      <w:lvlJc w:val="left"/>
      <w:pPr>
        <w:ind w:left="-266" w:hanging="360"/>
      </w:pPr>
    </w:lvl>
    <w:lvl w:ilvl="2" w:tplc="0809001B" w:tentative="1">
      <w:start w:val="1"/>
      <w:numFmt w:val="lowerRoman"/>
      <w:lvlText w:val="%3."/>
      <w:lvlJc w:val="right"/>
      <w:pPr>
        <w:ind w:left="454" w:hanging="180"/>
      </w:pPr>
    </w:lvl>
    <w:lvl w:ilvl="3" w:tplc="0809000F" w:tentative="1">
      <w:start w:val="1"/>
      <w:numFmt w:val="decimal"/>
      <w:lvlText w:val="%4."/>
      <w:lvlJc w:val="left"/>
      <w:pPr>
        <w:ind w:left="1174" w:hanging="360"/>
      </w:pPr>
    </w:lvl>
    <w:lvl w:ilvl="4" w:tplc="08090019" w:tentative="1">
      <w:start w:val="1"/>
      <w:numFmt w:val="lowerLetter"/>
      <w:lvlText w:val="%5."/>
      <w:lvlJc w:val="left"/>
      <w:pPr>
        <w:ind w:left="1894" w:hanging="360"/>
      </w:pPr>
    </w:lvl>
    <w:lvl w:ilvl="5" w:tplc="0809001B" w:tentative="1">
      <w:start w:val="1"/>
      <w:numFmt w:val="lowerRoman"/>
      <w:lvlText w:val="%6."/>
      <w:lvlJc w:val="right"/>
      <w:pPr>
        <w:ind w:left="2614" w:hanging="180"/>
      </w:pPr>
    </w:lvl>
    <w:lvl w:ilvl="6" w:tplc="0809000F" w:tentative="1">
      <w:start w:val="1"/>
      <w:numFmt w:val="decimal"/>
      <w:lvlText w:val="%7."/>
      <w:lvlJc w:val="left"/>
      <w:pPr>
        <w:ind w:left="3334" w:hanging="360"/>
      </w:pPr>
    </w:lvl>
    <w:lvl w:ilvl="7" w:tplc="08090019" w:tentative="1">
      <w:start w:val="1"/>
      <w:numFmt w:val="lowerLetter"/>
      <w:lvlText w:val="%8."/>
      <w:lvlJc w:val="left"/>
      <w:pPr>
        <w:ind w:left="4054" w:hanging="360"/>
      </w:pPr>
    </w:lvl>
    <w:lvl w:ilvl="8" w:tplc="0809001B" w:tentative="1">
      <w:start w:val="1"/>
      <w:numFmt w:val="lowerRoman"/>
      <w:lvlText w:val="%9."/>
      <w:lvlJc w:val="right"/>
      <w:pPr>
        <w:ind w:left="4774" w:hanging="180"/>
      </w:pPr>
    </w:lvl>
  </w:abstractNum>
  <w:abstractNum w:abstractNumId="3" w15:restartNumberingAfterBreak="0">
    <w:nsid w:val="059B3B4B"/>
    <w:multiLevelType w:val="hybridMultilevel"/>
    <w:tmpl w:val="ED4654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9D428D1"/>
    <w:multiLevelType w:val="hybridMultilevel"/>
    <w:tmpl w:val="D07A908E"/>
    <w:lvl w:ilvl="0" w:tplc="0C0A0017">
      <w:start w:val="1"/>
      <w:numFmt w:val="lowerLetter"/>
      <w:lvlText w:val="%1)"/>
      <w:lvlJc w:val="left"/>
      <w:pPr>
        <w:ind w:left="1776" w:hanging="360"/>
      </w:pPr>
      <w:rPr>
        <w:rFonts w:hint="default"/>
      </w:rPr>
    </w:lvl>
    <w:lvl w:ilvl="1" w:tplc="FFFFFFFF">
      <w:start w:val="1"/>
      <w:numFmt w:val="bullet"/>
      <w:lvlText w:val="o"/>
      <w:lvlJc w:val="left"/>
      <w:pPr>
        <w:ind w:left="2496" w:hanging="360"/>
      </w:pPr>
      <w:rPr>
        <w:rFonts w:ascii="Courier New" w:hAnsi="Courier New" w:cs="Courier New" w:hint="default"/>
      </w:rPr>
    </w:lvl>
    <w:lvl w:ilvl="2" w:tplc="FFFFFFFF">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5" w15:restartNumberingAfterBreak="0">
    <w:nsid w:val="0AA45746"/>
    <w:multiLevelType w:val="hybridMultilevel"/>
    <w:tmpl w:val="443AC638"/>
    <w:lvl w:ilvl="0" w:tplc="3CA62684">
      <w:start w:val="1"/>
      <w:numFmt w:val="decimal"/>
      <w:lvlText w:val="D.%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2951A8"/>
    <w:multiLevelType w:val="hybridMultilevel"/>
    <w:tmpl w:val="5016C05A"/>
    <w:lvl w:ilvl="0" w:tplc="74A8AC0A">
      <w:start w:val="1"/>
      <w:numFmt w:val="decimal"/>
      <w:lvlText w:val="%1."/>
      <w:lvlJc w:val="left"/>
      <w:pPr>
        <w:ind w:left="786" w:hanging="360"/>
      </w:pPr>
      <w:rPr>
        <w:rFonts w:hint="default"/>
      </w:rPr>
    </w:lvl>
    <w:lvl w:ilvl="1" w:tplc="F39658BE">
      <w:start w:val="1"/>
      <w:numFmt w:val="decimal"/>
      <w:lvlText w:val="%2."/>
      <w:lvlJc w:val="left"/>
      <w:pPr>
        <w:ind w:left="1506" w:hanging="360"/>
      </w:pPr>
      <w:rPr>
        <w:rFonts w:ascii="Cambria" w:eastAsia="Arial" w:hAnsi="Cambria" w:cs="Times New Roman"/>
      </w:rPr>
    </w:lvl>
    <w:lvl w:ilvl="2" w:tplc="0809001B">
      <w:start w:val="1"/>
      <w:numFmt w:val="lowerRoman"/>
      <w:lvlText w:val="%3."/>
      <w:lvlJc w:val="right"/>
      <w:pPr>
        <w:ind w:left="2226" w:hanging="180"/>
      </w:pPr>
    </w:lvl>
    <w:lvl w:ilvl="3" w:tplc="BF92BE9A">
      <w:start w:val="1"/>
      <w:numFmt w:val="decimal"/>
      <w:lvlText w:val="%4."/>
      <w:lvlJc w:val="left"/>
      <w:pPr>
        <w:ind w:left="360" w:hanging="360"/>
      </w:pPr>
      <w:rPr>
        <w:b w:val="0"/>
        <w:bCs w:val="0"/>
      </w:rPr>
    </w:lvl>
    <w:lvl w:ilvl="4" w:tplc="08090019">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0CD86572"/>
    <w:multiLevelType w:val="hybridMultilevel"/>
    <w:tmpl w:val="0BB0B8F4"/>
    <w:lvl w:ilvl="0" w:tplc="E8663628">
      <w:start w:val="4"/>
      <w:numFmt w:val="upp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E0D3454"/>
    <w:multiLevelType w:val="hybridMultilevel"/>
    <w:tmpl w:val="859C55CE"/>
    <w:lvl w:ilvl="0" w:tplc="68D89C26">
      <w:numFmt w:val="bullet"/>
      <w:lvlText w:val="-"/>
      <w:lvlJc w:val="left"/>
      <w:pPr>
        <w:ind w:left="720" w:hanging="360"/>
      </w:pPr>
      <w:rPr>
        <w:rFonts w:ascii="Calibri" w:eastAsia="Calibri" w:hAnsi="Calibri" w:cs="Times New Roman" w:hint="default"/>
      </w:rPr>
    </w:lvl>
    <w:lvl w:ilvl="1" w:tplc="68D89C26">
      <w:numFmt w:val="bullet"/>
      <w:lvlText w:val="-"/>
      <w:lvlJc w:val="left"/>
      <w:pPr>
        <w:ind w:left="1440" w:hanging="360"/>
      </w:pPr>
      <w:rPr>
        <w:rFonts w:ascii="Calibri" w:eastAsia="Calibri" w:hAnsi="Calibri"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0E8A6BBE"/>
    <w:multiLevelType w:val="hybridMultilevel"/>
    <w:tmpl w:val="53625F9A"/>
    <w:lvl w:ilvl="0" w:tplc="CB38CEDE">
      <w:start w:val="6"/>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EA21443"/>
    <w:multiLevelType w:val="hybridMultilevel"/>
    <w:tmpl w:val="1A94E11E"/>
    <w:lvl w:ilvl="0" w:tplc="634A64FA">
      <w:start w:val="6"/>
      <w:numFmt w:val="upperRoman"/>
      <w:lvlText w:val="%1."/>
      <w:lvlJc w:val="left"/>
      <w:pPr>
        <w:ind w:left="720" w:hanging="720"/>
      </w:pPr>
      <w:rPr>
        <w:rFonts w:eastAsia="Calibri"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F5304ED"/>
    <w:multiLevelType w:val="hybridMultilevel"/>
    <w:tmpl w:val="5E4A92D8"/>
    <w:lvl w:ilvl="0" w:tplc="275C5FB0">
      <w:start w:val="1"/>
      <w:numFmt w:val="upperLetter"/>
      <w:lvlText w:val="%1."/>
      <w:lvlJc w:val="left"/>
      <w:pPr>
        <w:ind w:left="720" w:hanging="360"/>
      </w:pPr>
      <w:rPr>
        <w:rFonts w:hint="default"/>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0DE3BA6"/>
    <w:multiLevelType w:val="multilevel"/>
    <w:tmpl w:val="37728AE4"/>
    <w:lvl w:ilvl="0">
      <w:start w:val="1"/>
      <w:numFmt w:val="decimal"/>
      <w:lvlText w:val="%1."/>
      <w:lvlJc w:val="left"/>
      <w:pPr>
        <w:ind w:left="862" w:hanging="360"/>
      </w:pPr>
      <w:rPr>
        <w:rFonts w:hint="default"/>
      </w:rPr>
    </w:lvl>
    <w:lvl w:ilvl="1">
      <w:start w:val="1"/>
      <w:numFmt w:val="decimal"/>
      <w:isLgl/>
      <w:lvlText w:val="%1.%2"/>
      <w:lvlJc w:val="left"/>
      <w:pPr>
        <w:ind w:left="874" w:hanging="372"/>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302" w:hanging="1800"/>
      </w:pPr>
      <w:rPr>
        <w:rFonts w:hint="default"/>
      </w:rPr>
    </w:lvl>
  </w:abstractNum>
  <w:abstractNum w:abstractNumId="13" w15:restartNumberingAfterBreak="0">
    <w:nsid w:val="11686886"/>
    <w:multiLevelType w:val="hybridMultilevel"/>
    <w:tmpl w:val="C20847EC"/>
    <w:lvl w:ilvl="0" w:tplc="D6BEC0FE">
      <w:start w:val="1"/>
      <w:numFmt w:val="decimal"/>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4" w15:restartNumberingAfterBreak="0">
    <w:nsid w:val="12A744C9"/>
    <w:multiLevelType w:val="hybridMultilevel"/>
    <w:tmpl w:val="DF14AB48"/>
    <w:lvl w:ilvl="0" w:tplc="FFFFFFFF">
      <w:start w:val="1"/>
      <w:numFmt w:val="decimal"/>
      <w:lvlText w:val="%1."/>
      <w:lvlJc w:val="left"/>
      <w:pPr>
        <w:ind w:left="720" w:hanging="360"/>
      </w:pPr>
      <w:rPr>
        <w:rFonts w:hint="default"/>
      </w:rPr>
    </w:lvl>
    <w:lvl w:ilvl="1" w:tplc="FFFFFFFF">
      <w:start w:val="2"/>
      <w:numFmt w:val="decimal"/>
      <w:lvlText w:val="%2.1."/>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062266"/>
    <w:multiLevelType w:val="hybridMultilevel"/>
    <w:tmpl w:val="D87C8F52"/>
    <w:lvl w:ilvl="0" w:tplc="0C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16C52631"/>
    <w:multiLevelType w:val="multilevel"/>
    <w:tmpl w:val="0C0A001D"/>
    <w:lvl w:ilvl="0">
      <w:start w:val="1"/>
      <w:numFmt w:val="decimal"/>
      <w:lvlText w:val="%1)"/>
      <w:lvlJc w:val="left"/>
      <w:pPr>
        <w:ind w:left="644"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1352" w:hanging="360"/>
      </w:pPr>
    </w:lvl>
    <w:lvl w:ilvl="8">
      <w:start w:val="1"/>
      <w:numFmt w:val="lowerRoman"/>
      <w:lvlText w:val="%9."/>
      <w:lvlJc w:val="left"/>
      <w:pPr>
        <w:ind w:left="3240" w:hanging="360"/>
      </w:pPr>
    </w:lvl>
  </w:abstractNum>
  <w:abstractNum w:abstractNumId="17" w15:restartNumberingAfterBreak="0">
    <w:nsid w:val="177178A1"/>
    <w:multiLevelType w:val="hybridMultilevel"/>
    <w:tmpl w:val="2A2AEA5E"/>
    <w:lvl w:ilvl="0" w:tplc="9C1A2858">
      <w:start w:val="1"/>
      <w:numFmt w:val="upperLetter"/>
      <w:lvlText w:val="%1."/>
      <w:lvlJc w:val="left"/>
      <w:pPr>
        <w:ind w:left="360" w:hanging="360"/>
      </w:pPr>
      <w:rPr>
        <w:color w:val="auto"/>
      </w:rPr>
    </w:lvl>
    <w:lvl w:ilvl="1" w:tplc="0C0A0013">
      <w:start w:val="1"/>
      <w:numFmt w:val="upperRoman"/>
      <w:lvlText w:val="%2."/>
      <w:lvlJc w:val="righ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18AF14C0"/>
    <w:multiLevelType w:val="hybridMultilevel"/>
    <w:tmpl w:val="7826AF80"/>
    <w:lvl w:ilvl="0" w:tplc="4F62E4F4">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A9463F1"/>
    <w:multiLevelType w:val="hybridMultilevel"/>
    <w:tmpl w:val="B160672A"/>
    <w:lvl w:ilvl="0" w:tplc="5ACA62A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BB2349B"/>
    <w:multiLevelType w:val="hybridMultilevel"/>
    <w:tmpl w:val="DF14AB48"/>
    <w:lvl w:ilvl="0" w:tplc="B380EAAC">
      <w:start w:val="1"/>
      <w:numFmt w:val="decimal"/>
      <w:lvlText w:val="%1."/>
      <w:lvlJc w:val="left"/>
      <w:pPr>
        <w:ind w:left="720" w:hanging="360"/>
      </w:pPr>
      <w:rPr>
        <w:rFonts w:hint="default"/>
      </w:rPr>
    </w:lvl>
    <w:lvl w:ilvl="1" w:tplc="DD5CA0EC">
      <w:start w:val="2"/>
      <w:numFmt w:val="decimal"/>
      <w:lvlText w:val="%2.1."/>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1D3C5069"/>
    <w:multiLevelType w:val="hybridMultilevel"/>
    <w:tmpl w:val="35DC85B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DD23AE4"/>
    <w:multiLevelType w:val="hybridMultilevel"/>
    <w:tmpl w:val="D7AA142E"/>
    <w:lvl w:ilvl="0" w:tplc="43382BE0">
      <w:start w:val="4"/>
      <w:numFmt w:val="decimal"/>
      <w:lvlText w:val="C.%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EDF0A05"/>
    <w:multiLevelType w:val="multilevel"/>
    <w:tmpl w:val="D1F41C40"/>
    <w:lvl w:ilvl="0">
      <w:start w:val="1"/>
      <w:numFmt w:val="lowerLetter"/>
      <w:lvlText w:val="%1)"/>
      <w:lvlJc w:val="left"/>
      <w:pPr>
        <w:ind w:left="720" w:hanging="360"/>
      </w:pPr>
      <w:rPr>
        <w:rFonts w:ascii="Century Gothic" w:eastAsia="Times New Roman" w:hAnsi="Century Gothic" w:cstheme="minorHAnsi"/>
      </w:rPr>
    </w:lvl>
    <w:lvl w:ilvl="1">
      <w:start w:val="1"/>
      <w:numFmt w:val="decimal"/>
      <w:isLgl/>
      <w:lvlText w:val="%1.%2"/>
      <w:lvlJc w:val="left"/>
      <w:pPr>
        <w:ind w:left="1440" w:hanging="720"/>
      </w:pPr>
      <w:rPr>
        <w:rFonts w:hint="default"/>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1F1C2F05"/>
    <w:multiLevelType w:val="hybridMultilevel"/>
    <w:tmpl w:val="1014569E"/>
    <w:lvl w:ilvl="0" w:tplc="FFFFFFFF">
      <w:start w:val="1"/>
      <w:numFmt w:val="bullet"/>
      <w:lvlText w:val=""/>
      <w:lvlJc w:val="left"/>
      <w:pPr>
        <w:ind w:left="720" w:hanging="360"/>
      </w:pPr>
      <w:rPr>
        <w:rFonts w:ascii="Wingdings" w:hAnsi="Wingdings" w:hint="default"/>
      </w:rPr>
    </w:lvl>
    <w:lvl w:ilvl="1" w:tplc="0C0A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66704CE6">
      <w:start w:val="7"/>
      <w:numFmt w:val="upperRoman"/>
      <w:lvlText w:val="%4."/>
      <w:lvlJc w:val="left"/>
      <w:pPr>
        <w:ind w:left="1146" w:hanging="720"/>
      </w:pPr>
      <w:rPr>
        <w:rFonts w:eastAsia="Calibri" w:cs="Aria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FD44376"/>
    <w:multiLevelType w:val="hybridMultilevel"/>
    <w:tmpl w:val="C3366A20"/>
    <w:lvl w:ilvl="0" w:tplc="B24C9F98">
      <w:start w:val="1"/>
      <w:numFmt w:val="upperLetter"/>
      <w:lvlText w:val="%1."/>
      <w:lvlJc w:val="left"/>
      <w:pPr>
        <w:ind w:left="72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2320321B"/>
    <w:multiLevelType w:val="hybridMultilevel"/>
    <w:tmpl w:val="CF22FEEE"/>
    <w:lvl w:ilvl="0" w:tplc="DEE8272C">
      <w:start w:val="3"/>
      <w:numFmt w:val="decimal"/>
      <w:lvlText w:val="%1."/>
      <w:lvlJc w:val="left"/>
      <w:pPr>
        <w:ind w:left="234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241C05BE"/>
    <w:multiLevelType w:val="hybridMultilevel"/>
    <w:tmpl w:val="3F54C4C2"/>
    <w:lvl w:ilvl="0" w:tplc="0C0A000F">
      <w:start w:val="1"/>
      <w:numFmt w:val="decimal"/>
      <w:lvlText w:val="%1."/>
      <w:lvlJc w:val="left"/>
      <w:pPr>
        <w:ind w:left="1778" w:hanging="360"/>
      </w:pPr>
      <w:rPr>
        <w:rFonts w:hint="default"/>
      </w:rPr>
    </w:lvl>
    <w:lvl w:ilvl="1" w:tplc="0C0A0019">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28" w15:restartNumberingAfterBreak="0">
    <w:nsid w:val="2641485C"/>
    <w:multiLevelType w:val="hybridMultilevel"/>
    <w:tmpl w:val="4CCC81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69F48E0"/>
    <w:multiLevelType w:val="hybridMultilevel"/>
    <w:tmpl w:val="1B54C4F8"/>
    <w:lvl w:ilvl="0" w:tplc="46463AD6">
      <w:start w:val="1"/>
      <w:numFmt w:val="decimal"/>
      <w:lvlText w:val="B.%1."/>
      <w:lvlJc w:val="left"/>
      <w:pPr>
        <w:ind w:left="785"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9184492"/>
    <w:multiLevelType w:val="hybridMultilevel"/>
    <w:tmpl w:val="67BE6524"/>
    <w:lvl w:ilvl="0" w:tplc="9654928E">
      <w:start w:val="1"/>
      <w:numFmt w:val="lowerLetter"/>
      <w:lvlText w:val="%1)"/>
      <w:lvlJc w:val="left"/>
      <w:pPr>
        <w:ind w:left="1428" w:hanging="360"/>
      </w:pPr>
      <w:rPr>
        <w:rFonts w:ascii="Century Gothic" w:eastAsia="Times New Roman" w:hAnsi="Century Gothic" w:cstheme="minorHAnsi"/>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2A257DA5"/>
    <w:multiLevelType w:val="hybridMultilevel"/>
    <w:tmpl w:val="192AB17A"/>
    <w:lvl w:ilvl="0" w:tplc="16365D9C">
      <w:start w:val="4"/>
      <w:numFmt w:val="decimal"/>
      <w:lvlText w:val="%1."/>
      <w:lvlJc w:val="left"/>
      <w:pPr>
        <w:ind w:left="23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E37253D"/>
    <w:multiLevelType w:val="hybridMultilevel"/>
    <w:tmpl w:val="165E8D96"/>
    <w:lvl w:ilvl="0" w:tplc="0C0A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30020458"/>
    <w:multiLevelType w:val="hybridMultilevel"/>
    <w:tmpl w:val="07021114"/>
    <w:lvl w:ilvl="0" w:tplc="BEF8C12E">
      <w:start w:val="1"/>
      <w:numFmt w:val="decimal"/>
      <w:lvlText w:val="%1."/>
      <w:lvlJc w:val="left"/>
      <w:pPr>
        <w:ind w:left="3763"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4" w15:restartNumberingAfterBreak="0">
    <w:nsid w:val="31C876F4"/>
    <w:multiLevelType w:val="multilevel"/>
    <w:tmpl w:val="9A286310"/>
    <w:lvl w:ilvl="0">
      <w:start w:val="2"/>
      <w:numFmt w:val="decimal"/>
      <w:lvlText w:val="%1."/>
      <w:lvlJc w:val="left"/>
      <w:pPr>
        <w:ind w:left="360" w:hanging="360"/>
      </w:pPr>
      <w:rPr>
        <w:rFonts w:hint="default"/>
      </w:rPr>
    </w:lvl>
    <w:lvl w:ilvl="1">
      <w:start w:val="2"/>
      <w:numFmt w:val="decimal"/>
      <w:lvlText w:val="%1.%2."/>
      <w:lvlJc w:val="left"/>
      <w:pPr>
        <w:ind w:left="2629"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386069DE"/>
    <w:multiLevelType w:val="multilevel"/>
    <w:tmpl w:val="4B600F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A6C6E04"/>
    <w:multiLevelType w:val="hybridMultilevel"/>
    <w:tmpl w:val="CB6210A8"/>
    <w:lvl w:ilvl="0" w:tplc="FFFFFFFF">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15:restartNumberingAfterBreak="0">
    <w:nsid w:val="3E8123D7"/>
    <w:multiLevelType w:val="hybridMultilevel"/>
    <w:tmpl w:val="39AA814A"/>
    <w:lvl w:ilvl="0" w:tplc="0C0A000F">
      <w:start w:val="1"/>
      <w:numFmt w:val="decimal"/>
      <w:lvlText w:val="%1."/>
      <w:lvlJc w:val="left"/>
      <w:pPr>
        <w:ind w:left="6806" w:hanging="360"/>
      </w:pPr>
    </w:lvl>
    <w:lvl w:ilvl="1" w:tplc="0C0A0019" w:tentative="1">
      <w:start w:val="1"/>
      <w:numFmt w:val="lowerLetter"/>
      <w:lvlText w:val="%2."/>
      <w:lvlJc w:val="left"/>
      <w:pPr>
        <w:ind w:left="7526" w:hanging="360"/>
      </w:pPr>
    </w:lvl>
    <w:lvl w:ilvl="2" w:tplc="0C0A001B" w:tentative="1">
      <w:start w:val="1"/>
      <w:numFmt w:val="lowerRoman"/>
      <w:lvlText w:val="%3."/>
      <w:lvlJc w:val="right"/>
      <w:pPr>
        <w:ind w:left="8246" w:hanging="180"/>
      </w:pPr>
    </w:lvl>
    <w:lvl w:ilvl="3" w:tplc="0C0A000F" w:tentative="1">
      <w:start w:val="1"/>
      <w:numFmt w:val="decimal"/>
      <w:lvlText w:val="%4."/>
      <w:lvlJc w:val="left"/>
      <w:pPr>
        <w:ind w:left="8966" w:hanging="360"/>
      </w:pPr>
    </w:lvl>
    <w:lvl w:ilvl="4" w:tplc="0C0A0019" w:tentative="1">
      <w:start w:val="1"/>
      <w:numFmt w:val="lowerLetter"/>
      <w:lvlText w:val="%5."/>
      <w:lvlJc w:val="left"/>
      <w:pPr>
        <w:ind w:left="9686" w:hanging="360"/>
      </w:pPr>
    </w:lvl>
    <w:lvl w:ilvl="5" w:tplc="0C0A001B" w:tentative="1">
      <w:start w:val="1"/>
      <w:numFmt w:val="lowerRoman"/>
      <w:lvlText w:val="%6."/>
      <w:lvlJc w:val="right"/>
      <w:pPr>
        <w:ind w:left="10406" w:hanging="180"/>
      </w:pPr>
    </w:lvl>
    <w:lvl w:ilvl="6" w:tplc="0C0A000F" w:tentative="1">
      <w:start w:val="1"/>
      <w:numFmt w:val="decimal"/>
      <w:lvlText w:val="%7."/>
      <w:lvlJc w:val="left"/>
      <w:pPr>
        <w:ind w:left="11126" w:hanging="360"/>
      </w:pPr>
    </w:lvl>
    <w:lvl w:ilvl="7" w:tplc="0C0A0019" w:tentative="1">
      <w:start w:val="1"/>
      <w:numFmt w:val="lowerLetter"/>
      <w:lvlText w:val="%8."/>
      <w:lvlJc w:val="left"/>
      <w:pPr>
        <w:ind w:left="11846" w:hanging="360"/>
      </w:pPr>
    </w:lvl>
    <w:lvl w:ilvl="8" w:tplc="0C0A001B" w:tentative="1">
      <w:start w:val="1"/>
      <w:numFmt w:val="lowerRoman"/>
      <w:lvlText w:val="%9."/>
      <w:lvlJc w:val="right"/>
      <w:pPr>
        <w:ind w:left="12566" w:hanging="180"/>
      </w:pPr>
    </w:lvl>
  </w:abstractNum>
  <w:abstractNum w:abstractNumId="38" w15:restartNumberingAfterBreak="0">
    <w:nsid w:val="405830C6"/>
    <w:multiLevelType w:val="hybridMultilevel"/>
    <w:tmpl w:val="FDA676C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2434E49"/>
    <w:multiLevelType w:val="hybridMultilevel"/>
    <w:tmpl w:val="079406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3BA7EC3"/>
    <w:multiLevelType w:val="hybridMultilevel"/>
    <w:tmpl w:val="8F50526C"/>
    <w:lvl w:ilvl="0" w:tplc="66AC5758">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5396263"/>
    <w:multiLevelType w:val="hybridMultilevel"/>
    <w:tmpl w:val="7B54CDB8"/>
    <w:lvl w:ilvl="0" w:tplc="0C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5D71C43"/>
    <w:multiLevelType w:val="hybridMultilevel"/>
    <w:tmpl w:val="0928C4B8"/>
    <w:lvl w:ilvl="0" w:tplc="7166E62C">
      <w:start w:val="1"/>
      <w:numFmt w:val="decimal"/>
      <w:lvlText w:val="A.%1."/>
      <w:lvlJc w:val="left"/>
      <w:pPr>
        <w:ind w:left="4897" w:hanging="360"/>
      </w:pPr>
      <w:rPr>
        <w:rFonts w:hint="default"/>
        <w:b w:val="0"/>
        <w:bCs/>
      </w:rPr>
    </w:lvl>
    <w:lvl w:ilvl="1" w:tplc="0C0A0019">
      <w:start w:val="1"/>
      <w:numFmt w:val="lowerLetter"/>
      <w:lvlText w:val="%2."/>
      <w:lvlJc w:val="left"/>
      <w:pPr>
        <w:ind w:left="5769" w:hanging="360"/>
      </w:pPr>
    </w:lvl>
    <w:lvl w:ilvl="2" w:tplc="0C0A001B">
      <w:start w:val="1"/>
      <w:numFmt w:val="lowerRoman"/>
      <w:lvlText w:val="%3."/>
      <w:lvlJc w:val="right"/>
      <w:pPr>
        <w:ind w:left="6489" w:hanging="180"/>
      </w:pPr>
    </w:lvl>
    <w:lvl w:ilvl="3" w:tplc="0C0A000F">
      <w:start w:val="1"/>
      <w:numFmt w:val="decimal"/>
      <w:lvlText w:val="%4."/>
      <w:lvlJc w:val="left"/>
      <w:pPr>
        <w:ind w:left="7209" w:hanging="360"/>
      </w:pPr>
    </w:lvl>
    <w:lvl w:ilvl="4" w:tplc="0C0A0019">
      <w:start w:val="1"/>
      <w:numFmt w:val="lowerLetter"/>
      <w:lvlText w:val="%5."/>
      <w:lvlJc w:val="left"/>
      <w:pPr>
        <w:ind w:left="7929" w:hanging="360"/>
      </w:pPr>
    </w:lvl>
    <w:lvl w:ilvl="5" w:tplc="0C0A001B">
      <w:start w:val="1"/>
      <w:numFmt w:val="lowerRoman"/>
      <w:lvlText w:val="%6."/>
      <w:lvlJc w:val="right"/>
      <w:pPr>
        <w:ind w:left="8649" w:hanging="180"/>
      </w:pPr>
    </w:lvl>
    <w:lvl w:ilvl="6" w:tplc="0C0A000F">
      <w:start w:val="1"/>
      <w:numFmt w:val="decimal"/>
      <w:lvlText w:val="%7."/>
      <w:lvlJc w:val="left"/>
      <w:pPr>
        <w:ind w:left="9369" w:hanging="360"/>
      </w:pPr>
    </w:lvl>
    <w:lvl w:ilvl="7" w:tplc="0C0A0019">
      <w:start w:val="1"/>
      <w:numFmt w:val="lowerLetter"/>
      <w:lvlText w:val="%8."/>
      <w:lvlJc w:val="left"/>
      <w:pPr>
        <w:ind w:left="10089" w:hanging="360"/>
      </w:pPr>
    </w:lvl>
    <w:lvl w:ilvl="8" w:tplc="0C0A001B">
      <w:start w:val="1"/>
      <w:numFmt w:val="lowerRoman"/>
      <w:lvlText w:val="%9."/>
      <w:lvlJc w:val="right"/>
      <w:pPr>
        <w:ind w:left="10809" w:hanging="180"/>
      </w:pPr>
    </w:lvl>
  </w:abstractNum>
  <w:abstractNum w:abstractNumId="43" w15:restartNumberingAfterBreak="0">
    <w:nsid w:val="47735542"/>
    <w:multiLevelType w:val="hybridMultilevel"/>
    <w:tmpl w:val="0C14BD58"/>
    <w:lvl w:ilvl="0" w:tplc="2390C9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4B3D17E5"/>
    <w:multiLevelType w:val="multilevel"/>
    <w:tmpl w:val="E638AC64"/>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5" w15:restartNumberingAfterBreak="0">
    <w:nsid w:val="4B8E4F27"/>
    <w:multiLevelType w:val="hybridMultilevel"/>
    <w:tmpl w:val="85E2C196"/>
    <w:lvl w:ilvl="0" w:tplc="BEF8C12E">
      <w:start w:val="1"/>
      <w:numFmt w:val="decimal"/>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46" w15:restartNumberingAfterBreak="0">
    <w:nsid w:val="4DB60B85"/>
    <w:multiLevelType w:val="hybridMultilevel"/>
    <w:tmpl w:val="188AE692"/>
    <w:lvl w:ilvl="0" w:tplc="FFFFFFFF">
      <w:start w:val="1"/>
      <w:numFmt w:val="upperLetter"/>
      <w:lvlText w:val="%1."/>
      <w:lvlJc w:val="left"/>
      <w:pPr>
        <w:ind w:left="720" w:hanging="360"/>
      </w:pPr>
    </w:lvl>
    <w:lvl w:ilvl="1" w:tplc="FFFFFFFF">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510748CA"/>
    <w:multiLevelType w:val="multilevel"/>
    <w:tmpl w:val="80EEACF0"/>
    <w:lvl w:ilvl="0">
      <w:start w:val="1"/>
      <w:numFmt w:val="bullet"/>
      <w:lvlText w:val=""/>
      <w:lvlJc w:val="left"/>
      <w:pPr>
        <w:ind w:left="720" w:hanging="360"/>
      </w:pPr>
      <w:rPr>
        <w:rFonts w:ascii="Wingdings" w:hAnsi="Wingding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8" w15:restartNumberingAfterBreak="0">
    <w:nsid w:val="539E203B"/>
    <w:multiLevelType w:val="hybridMultilevel"/>
    <w:tmpl w:val="954AD04E"/>
    <w:lvl w:ilvl="0" w:tplc="0809001B">
      <w:start w:val="1"/>
      <w:numFmt w:val="lowerRoman"/>
      <w:lvlText w:val="%1."/>
      <w:lvlJc w:val="right"/>
      <w:pPr>
        <w:ind w:left="1080" w:hanging="360"/>
      </w:pPr>
    </w:lvl>
    <w:lvl w:ilvl="1" w:tplc="BE9053EC">
      <w:start w:val="1"/>
      <w:numFmt w:val="lowerLetter"/>
      <w:lvlText w:val="%2."/>
      <w:lvlJc w:val="left"/>
      <w:pPr>
        <w:ind w:left="1800" w:hanging="360"/>
      </w:pPr>
      <w:rPr>
        <w:color w:val="auto"/>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579C39C1"/>
    <w:multiLevelType w:val="hybridMultilevel"/>
    <w:tmpl w:val="8AEC0FA0"/>
    <w:lvl w:ilvl="0" w:tplc="C590A230">
      <w:start w:val="1"/>
      <w:numFmt w:val="lowerLetter"/>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50" w15:restartNumberingAfterBreak="0">
    <w:nsid w:val="57E10CA2"/>
    <w:multiLevelType w:val="multilevel"/>
    <w:tmpl w:val="D700A136"/>
    <w:lvl w:ilvl="0">
      <w:start w:val="1"/>
      <w:numFmt w:val="decimal"/>
      <w:lvlText w:val="%1."/>
      <w:lvlJc w:val="left"/>
      <w:pPr>
        <w:ind w:left="720" w:hanging="360"/>
      </w:p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2130" w:hanging="144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622" w:hanging="1800"/>
      </w:pPr>
      <w:rPr>
        <w:rFonts w:hint="default"/>
        <w:b w:val="0"/>
      </w:rPr>
    </w:lvl>
    <w:lvl w:ilvl="8">
      <w:start w:val="1"/>
      <w:numFmt w:val="decimal"/>
      <w:isLgl/>
      <w:lvlText w:val="%1.%2.%3.%4.%5.%6.%7.%8.%9"/>
      <w:lvlJc w:val="left"/>
      <w:pPr>
        <w:ind w:left="2688" w:hanging="1800"/>
      </w:pPr>
      <w:rPr>
        <w:rFonts w:hint="default"/>
        <w:b w:val="0"/>
      </w:rPr>
    </w:lvl>
  </w:abstractNum>
  <w:abstractNum w:abstractNumId="51" w15:restartNumberingAfterBreak="0">
    <w:nsid w:val="59F30A74"/>
    <w:multiLevelType w:val="multilevel"/>
    <w:tmpl w:val="DD5491D6"/>
    <w:lvl w:ilvl="0">
      <w:start w:val="4"/>
      <w:numFmt w:val="decimal"/>
      <w:lvlText w:val="%1."/>
      <w:lvlJc w:val="left"/>
      <w:pPr>
        <w:tabs>
          <w:tab w:val="num" w:pos="644"/>
        </w:tabs>
        <w:ind w:left="644" w:hanging="360"/>
      </w:pPr>
    </w:lvl>
    <w:lvl w:ilvl="1">
      <w:start w:val="1"/>
      <w:numFmt w:val="decimal"/>
      <w:lvlText w:val="%2."/>
      <w:lvlJc w:val="left"/>
      <w:pPr>
        <w:tabs>
          <w:tab w:val="num" w:pos="360"/>
        </w:tabs>
        <w:ind w:left="360" w:hanging="360"/>
      </w:pPr>
      <w:rPr>
        <w:b w:val="0"/>
        <w:bCs w:val="0"/>
        <w:color w:val="auto"/>
      </w:r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2" w15:restartNumberingAfterBreak="0">
    <w:nsid w:val="5A9138E0"/>
    <w:multiLevelType w:val="hybridMultilevel"/>
    <w:tmpl w:val="2BA4BC46"/>
    <w:lvl w:ilvl="0" w:tplc="9CAE4E8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3" w15:restartNumberingAfterBreak="0">
    <w:nsid w:val="5CF72A6F"/>
    <w:multiLevelType w:val="hybridMultilevel"/>
    <w:tmpl w:val="46A48E9C"/>
    <w:lvl w:ilvl="0" w:tplc="A83A6440">
      <w:start w:val="1"/>
      <w:numFmt w:val="decimal"/>
      <w:lvlText w:val="%1."/>
      <w:lvlJc w:val="left"/>
      <w:pPr>
        <w:ind w:left="4755" w:hanging="360"/>
      </w:pPr>
      <w:rPr>
        <w:rFonts w:hint="default"/>
      </w:rPr>
    </w:lvl>
    <w:lvl w:ilvl="1" w:tplc="0C0A0019">
      <w:start w:val="1"/>
      <w:numFmt w:val="lowerLetter"/>
      <w:lvlText w:val="%2."/>
      <w:lvlJc w:val="left"/>
      <w:pPr>
        <w:ind w:left="5475" w:hanging="360"/>
      </w:pPr>
    </w:lvl>
    <w:lvl w:ilvl="2" w:tplc="0C0A001B">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54" w15:restartNumberingAfterBreak="0">
    <w:nsid w:val="5E9D0258"/>
    <w:multiLevelType w:val="multilevel"/>
    <w:tmpl w:val="EF86A0C6"/>
    <w:lvl w:ilvl="0">
      <w:start w:val="4"/>
      <w:numFmt w:val="decimal"/>
      <w:lvlText w:val="%1."/>
      <w:lvlJc w:val="left"/>
      <w:pPr>
        <w:tabs>
          <w:tab w:val="num" w:pos="644"/>
        </w:tabs>
        <w:ind w:left="644" w:hanging="360"/>
      </w:pPr>
    </w:lvl>
    <w:lvl w:ilvl="1">
      <w:start w:val="1"/>
      <w:numFmt w:val="decimal"/>
      <w:lvlText w:val="%2."/>
      <w:lvlJc w:val="left"/>
      <w:pPr>
        <w:tabs>
          <w:tab w:val="num" w:pos="360"/>
        </w:tabs>
        <w:ind w:left="360" w:hanging="360"/>
      </w:pPr>
      <w:rPr>
        <w:b w:val="0"/>
        <w:bCs w:val="0"/>
      </w:rPr>
    </w:lvl>
    <w:lvl w:ilvl="2">
      <w:start w:val="1"/>
      <w:numFmt w:val="bullet"/>
      <w:lvlText w:val=""/>
      <w:lvlJc w:val="left"/>
      <w:pPr>
        <w:ind w:left="2084" w:hanging="360"/>
      </w:pPr>
      <w:rPr>
        <w:rFonts w:ascii="Symbol" w:hAnsi="Symbol" w:hint="default"/>
      </w:rPr>
    </w:lvl>
    <w:lvl w:ilvl="3">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5" w15:restartNumberingAfterBreak="0">
    <w:nsid w:val="60E90B3A"/>
    <w:multiLevelType w:val="hybridMultilevel"/>
    <w:tmpl w:val="A32EAE8A"/>
    <w:lvl w:ilvl="0" w:tplc="61C67886">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3033218"/>
    <w:multiLevelType w:val="hybridMultilevel"/>
    <w:tmpl w:val="B524CB16"/>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63144E11"/>
    <w:multiLevelType w:val="hybridMultilevel"/>
    <w:tmpl w:val="7084E5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8" w15:restartNumberingAfterBreak="0">
    <w:nsid w:val="66EB0C00"/>
    <w:multiLevelType w:val="hybridMultilevel"/>
    <w:tmpl w:val="17E029B8"/>
    <w:lvl w:ilvl="0" w:tplc="B414D4FE">
      <w:start w:val="7"/>
      <w:numFmt w:val="decimal"/>
      <w:lvlText w:val="%1."/>
      <w:lvlJc w:val="left"/>
      <w:pPr>
        <w:ind w:left="376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8484DEB"/>
    <w:multiLevelType w:val="hybridMultilevel"/>
    <w:tmpl w:val="0CF4520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89D1ADF"/>
    <w:multiLevelType w:val="hybridMultilevel"/>
    <w:tmpl w:val="3A62303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BD06201"/>
    <w:multiLevelType w:val="hybridMultilevel"/>
    <w:tmpl w:val="79A42BD4"/>
    <w:lvl w:ilvl="0" w:tplc="735AC8F8">
      <w:start w:val="1"/>
      <w:numFmt w:val="decimal"/>
      <w:lvlText w:val="%1."/>
      <w:lvlJc w:val="left"/>
      <w:pPr>
        <w:ind w:left="1080" w:hanging="360"/>
      </w:pPr>
      <w:rPr>
        <w:rFonts w:hint="default"/>
        <w:b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2" w15:restartNumberingAfterBreak="0">
    <w:nsid w:val="6C356A0A"/>
    <w:multiLevelType w:val="hybridMultilevel"/>
    <w:tmpl w:val="9D6824CE"/>
    <w:lvl w:ilvl="0" w:tplc="6EB8108C">
      <w:start w:val="1"/>
      <w:numFmt w:val="decimal"/>
      <w:lvlText w:val="A.%1."/>
      <w:lvlJc w:val="left"/>
      <w:pPr>
        <w:ind w:left="4897"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F30662B"/>
    <w:multiLevelType w:val="hybridMultilevel"/>
    <w:tmpl w:val="56C07BAE"/>
    <w:lvl w:ilvl="0" w:tplc="0C0A0013">
      <w:start w:val="1"/>
      <w:numFmt w:val="upperRoman"/>
      <w:lvlText w:val="%1."/>
      <w:lvlJc w:val="right"/>
      <w:pPr>
        <w:ind w:left="1636" w:hanging="360"/>
      </w:pPr>
    </w:lvl>
    <w:lvl w:ilvl="1" w:tplc="FFFFFFFF">
      <w:start w:val="1"/>
      <w:numFmt w:val="lowerLetter"/>
      <w:lvlText w:val="%2."/>
      <w:lvlJc w:val="left"/>
      <w:pPr>
        <w:ind w:left="736" w:hanging="360"/>
      </w:pPr>
    </w:lvl>
    <w:lvl w:ilvl="2" w:tplc="FFFFFFFF">
      <w:start w:val="1"/>
      <w:numFmt w:val="lowerRoman"/>
      <w:lvlText w:val="%3."/>
      <w:lvlJc w:val="right"/>
      <w:pPr>
        <w:ind w:left="1456" w:hanging="180"/>
      </w:pPr>
    </w:lvl>
    <w:lvl w:ilvl="3" w:tplc="FFFFFFFF">
      <w:start w:val="1"/>
      <w:numFmt w:val="decimal"/>
      <w:lvlText w:val="%4."/>
      <w:lvlJc w:val="left"/>
      <w:pPr>
        <w:ind w:left="2176" w:hanging="360"/>
      </w:pPr>
    </w:lvl>
    <w:lvl w:ilvl="4" w:tplc="FFFFFFFF">
      <w:start w:val="1"/>
      <w:numFmt w:val="lowerLetter"/>
      <w:lvlText w:val="%5."/>
      <w:lvlJc w:val="left"/>
      <w:pPr>
        <w:ind w:left="2896" w:hanging="360"/>
      </w:pPr>
    </w:lvl>
    <w:lvl w:ilvl="5" w:tplc="FFFFFFFF">
      <w:start w:val="1"/>
      <w:numFmt w:val="lowerRoman"/>
      <w:lvlText w:val="%6."/>
      <w:lvlJc w:val="right"/>
      <w:pPr>
        <w:ind w:left="3616" w:hanging="180"/>
      </w:pPr>
    </w:lvl>
    <w:lvl w:ilvl="6" w:tplc="FFFFFFFF">
      <w:start w:val="1"/>
      <w:numFmt w:val="decimal"/>
      <w:lvlText w:val="%7."/>
      <w:lvlJc w:val="left"/>
      <w:pPr>
        <w:ind w:left="4336" w:hanging="360"/>
      </w:pPr>
    </w:lvl>
    <w:lvl w:ilvl="7" w:tplc="FFFFFFFF">
      <w:start w:val="1"/>
      <w:numFmt w:val="lowerLetter"/>
      <w:lvlText w:val="%8."/>
      <w:lvlJc w:val="left"/>
      <w:pPr>
        <w:ind w:left="5056" w:hanging="360"/>
      </w:pPr>
    </w:lvl>
    <w:lvl w:ilvl="8" w:tplc="FFFFFFFF">
      <w:start w:val="1"/>
      <w:numFmt w:val="lowerRoman"/>
      <w:lvlText w:val="%9."/>
      <w:lvlJc w:val="right"/>
      <w:pPr>
        <w:ind w:left="5776" w:hanging="180"/>
      </w:pPr>
    </w:lvl>
  </w:abstractNum>
  <w:abstractNum w:abstractNumId="64" w15:restartNumberingAfterBreak="0">
    <w:nsid w:val="6FB71D2F"/>
    <w:multiLevelType w:val="hybridMultilevel"/>
    <w:tmpl w:val="90DCC646"/>
    <w:lvl w:ilvl="0" w:tplc="BEF8C12E">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1A76961"/>
    <w:multiLevelType w:val="hybridMultilevel"/>
    <w:tmpl w:val="B524CB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2A02776"/>
    <w:multiLevelType w:val="hybridMultilevel"/>
    <w:tmpl w:val="8F788742"/>
    <w:lvl w:ilvl="0" w:tplc="72C43F3A">
      <w:start w:val="1"/>
      <w:numFmt w:val="decimal"/>
      <w:lvlText w:val="B.%1."/>
      <w:lvlJc w:val="left"/>
      <w:pPr>
        <w:ind w:left="785" w:hanging="360"/>
      </w:pPr>
      <w:rPr>
        <w:rFonts w:hint="default"/>
        <w:b w:val="0"/>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7" w15:restartNumberingAfterBreak="0">
    <w:nsid w:val="7551754A"/>
    <w:multiLevelType w:val="multilevel"/>
    <w:tmpl w:val="00868AD6"/>
    <w:lvl w:ilvl="0">
      <w:start w:val="2"/>
      <w:numFmt w:val="decimal"/>
      <w:lvlText w:val="%1."/>
      <w:lvlJc w:val="left"/>
      <w:pPr>
        <w:ind w:left="360" w:hanging="360"/>
      </w:pPr>
      <w:rPr>
        <w:rFonts w:hint="default"/>
      </w:rPr>
    </w:lvl>
    <w:lvl w:ilvl="1">
      <w:start w:val="2"/>
      <w:numFmt w:val="decimal"/>
      <w:lvlText w:val="%1.%2."/>
      <w:lvlJc w:val="left"/>
      <w:pPr>
        <w:ind w:left="2629"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8" w15:restartNumberingAfterBreak="0">
    <w:nsid w:val="769F7932"/>
    <w:multiLevelType w:val="hybridMultilevel"/>
    <w:tmpl w:val="A874E974"/>
    <w:lvl w:ilvl="0" w:tplc="74A20884">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DC83B3A"/>
    <w:multiLevelType w:val="hybridMultilevel"/>
    <w:tmpl w:val="A8DA5632"/>
    <w:lvl w:ilvl="0" w:tplc="2A4AA0B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EC23E99"/>
    <w:multiLevelType w:val="hybridMultilevel"/>
    <w:tmpl w:val="62B8C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8906175">
    <w:abstractNumId w:val="52"/>
  </w:num>
  <w:num w:numId="2" w16cid:durableId="184886295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7750151">
    <w:abstractNumId w:val="27"/>
  </w:num>
  <w:num w:numId="4" w16cid:durableId="11608515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7742415">
    <w:abstractNumId w:val="0"/>
  </w:num>
  <w:num w:numId="6" w16cid:durableId="206142452">
    <w:abstractNumId w:val="61"/>
  </w:num>
  <w:num w:numId="7" w16cid:durableId="152842415">
    <w:abstractNumId w:val="64"/>
  </w:num>
  <w:num w:numId="8" w16cid:durableId="797987913">
    <w:abstractNumId w:val="33"/>
  </w:num>
  <w:num w:numId="9" w16cid:durableId="1316028470">
    <w:abstractNumId w:val="45"/>
  </w:num>
  <w:num w:numId="10" w16cid:durableId="2040281361">
    <w:abstractNumId w:val="12"/>
  </w:num>
  <w:num w:numId="11" w16cid:durableId="1454129689">
    <w:abstractNumId w:val="59"/>
  </w:num>
  <w:num w:numId="12" w16cid:durableId="297223726">
    <w:abstractNumId w:val="53"/>
  </w:num>
  <w:num w:numId="13" w16cid:durableId="1823233264">
    <w:abstractNumId w:val="37"/>
  </w:num>
  <w:num w:numId="14" w16cid:durableId="274677655">
    <w:abstractNumId w:val="70"/>
  </w:num>
  <w:num w:numId="15" w16cid:durableId="883636368">
    <w:abstractNumId w:val="28"/>
  </w:num>
  <w:num w:numId="16" w16cid:durableId="1296717455">
    <w:abstractNumId w:val="58"/>
  </w:num>
  <w:num w:numId="17" w16cid:durableId="914782901">
    <w:abstractNumId w:val="39"/>
  </w:num>
  <w:num w:numId="18" w16cid:durableId="264119872">
    <w:abstractNumId w:val="20"/>
  </w:num>
  <w:num w:numId="19" w16cid:durableId="1415736251">
    <w:abstractNumId w:val="34"/>
  </w:num>
  <w:num w:numId="20" w16cid:durableId="849370274">
    <w:abstractNumId w:val="56"/>
  </w:num>
  <w:num w:numId="21" w16cid:durableId="1514954909">
    <w:abstractNumId w:val="6"/>
  </w:num>
  <w:num w:numId="22" w16cid:durableId="265817444">
    <w:abstractNumId w:val="60"/>
  </w:num>
  <w:num w:numId="23" w16cid:durableId="899514102">
    <w:abstractNumId w:val="2"/>
  </w:num>
  <w:num w:numId="24" w16cid:durableId="1337726727">
    <w:abstractNumId w:val="16"/>
  </w:num>
  <w:num w:numId="25" w16cid:durableId="1426488457">
    <w:abstractNumId w:val="49"/>
  </w:num>
  <w:num w:numId="26" w16cid:durableId="374961964">
    <w:abstractNumId w:val="23"/>
  </w:num>
  <w:num w:numId="27" w16cid:durableId="945843258">
    <w:abstractNumId w:val="47"/>
  </w:num>
  <w:num w:numId="28" w16cid:durableId="973216421">
    <w:abstractNumId w:val="41"/>
  </w:num>
  <w:num w:numId="29" w16cid:durableId="489760054">
    <w:abstractNumId w:val="38"/>
  </w:num>
  <w:num w:numId="30" w16cid:durableId="1689982090">
    <w:abstractNumId w:val="30"/>
  </w:num>
  <w:num w:numId="31" w16cid:durableId="160969878">
    <w:abstractNumId w:val="21"/>
  </w:num>
  <w:num w:numId="32" w16cid:durableId="167915305">
    <w:abstractNumId w:val="24"/>
  </w:num>
  <w:num w:numId="33" w16cid:durableId="574247203">
    <w:abstractNumId w:val="4"/>
  </w:num>
  <w:num w:numId="34" w16cid:durableId="836385226">
    <w:abstractNumId w:val="35"/>
  </w:num>
  <w:num w:numId="35" w16cid:durableId="52041853">
    <w:abstractNumId w:val="19"/>
  </w:num>
  <w:num w:numId="36" w16cid:durableId="1771854886">
    <w:abstractNumId w:val="51"/>
  </w:num>
  <w:num w:numId="37" w16cid:durableId="3874639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1025935">
    <w:abstractNumId w:val="42"/>
  </w:num>
  <w:num w:numId="39" w16cid:durableId="446505602">
    <w:abstractNumId w:val="66"/>
  </w:num>
  <w:num w:numId="40" w16cid:durableId="12702850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669893">
    <w:abstractNumId w:val="31"/>
  </w:num>
  <w:num w:numId="42" w16cid:durableId="3300662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74355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9750945">
    <w:abstractNumId w:val="8"/>
  </w:num>
  <w:num w:numId="45" w16cid:durableId="176314807">
    <w:abstractNumId w:val="54"/>
  </w:num>
  <w:num w:numId="46" w16cid:durableId="1669088565">
    <w:abstractNumId w:val="5"/>
  </w:num>
  <w:num w:numId="47" w16cid:durableId="1000237066">
    <w:abstractNumId w:val="22"/>
  </w:num>
  <w:num w:numId="48" w16cid:durableId="2324905">
    <w:abstractNumId w:val="1"/>
  </w:num>
  <w:num w:numId="49" w16cid:durableId="472066792">
    <w:abstractNumId w:val="40"/>
  </w:num>
  <w:num w:numId="50" w16cid:durableId="1059669434">
    <w:abstractNumId w:val="32"/>
  </w:num>
  <w:num w:numId="51" w16cid:durableId="1224439740">
    <w:abstractNumId w:val="15"/>
  </w:num>
  <w:num w:numId="52" w16cid:durableId="2122144044">
    <w:abstractNumId w:val="43"/>
  </w:num>
  <w:num w:numId="53" w16cid:durableId="6083215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546178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9925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4723067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71070253">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06129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350002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12392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99198401">
    <w:abstractNumId w:val="69"/>
  </w:num>
  <w:num w:numId="62" w16cid:durableId="1456484088">
    <w:abstractNumId w:val="29"/>
  </w:num>
  <w:num w:numId="63" w16cid:durableId="501748779">
    <w:abstractNumId w:val="62"/>
  </w:num>
  <w:num w:numId="64" w16cid:durableId="1050420886">
    <w:abstractNumId w:val="11"/>
  </w:num>
  <w:num w:numId="65" w16cid:durableId="1732119802">
    <w:abstractNumId w:val="9"/>
  </w:num>
  <w:num w:numId="66" w16cid:durableId="143858032">
    <w:abstractNumId w:val="7"/>
  </w:num>
  <w:num w:numId="67" w16cid:durableId="1250116485">
    <w:abstractNumId w:val="50"/>
  </w:num>
  <w:num w:numId="68" w16cid:durableId="93942201">
    <w:abstractNumId w:val="65"/>
  </w:num>
  <w:num w:numId="69" w16cid:durableId="429550831">
    <w:abstractNumId w:val="14"/>
  </w:num>
  <w:num w:numId="70" w16cid:durableId="1288970631">
    <w:abstractNumId w:val="67"/>
  </w:num>
  <w:num w:numId="71" w16cid:durableId="2005233047">
    <w:abstractNumId w:val="44"/>
  </w:num>
  <w:num w:numId="72" w16cid:durableId="1904831021">
    <w:abstractNumId w:val="18"/>
  </w:num>
  <w:num w:numId="73" w16cid:durableId="670907562">
    <w:abstractNumId w:val="10"/>
  </w:num>
  <w:num w:numId="74" w16cid:durableId="387800452">
    <w:abstractNumId w:val="5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B2"/>
    <w:rsid w:val="0000005F"/>
    <w:rsid w:val="000005A2"/>
    <w:rsid w:val="00000A42"/>
    <w:rsid w:val="00000C63"/>
    <w:rsid w:val="0000132E"/>
    <w:rsid w:val="00001723"/>
    <w:rsid w:val="000017AB"/>
    <w:rsid w:val="00001B9D"/>
    <w:rsid w:val="00002057"/>
    <w:rsid w:val="00002445"/>
    <w:rsid w:val="00002723"/>
    <w:rsid w:val="00002A1E"/>
    <w:rsid w:val="00003F4F"/>
    <w:rsid w:val="000042CF"/>
    <w:rsid w:val="0000438F"/>
    <w:rsid w:val="000048EC"/>
    <w:rsid w:val="00004AEB"/>
    <w:rsid w:val="00004B71"/>
    <w:rsid w:val="00004D82"/>
    <w:rsid w:val="00005A56"/>
    <w:rsid w:val="00006781"/>
    <w:rsid w:val="00006786"/>
    <w:rsid w:val="00006B17"/>
    <w:rsid w:val="00007466"/>
    <w:rsid w:val="00007839"/>
    <w:rsid w:val="00007B41"/>
    <w:rsid w:val="000103C8"/>
    <w:rsid w:val="00010BEB"/>
    <w:rsid w:val="000114C8"/>
    <w:rsid w:val="00011646"/>
    <w:rsid w:val="00011ED1"/>
    <w:rsid w:val="00012136"/>
    <w:rsid w:val="00012213"/>
    <w:rsid w:val="0001294E"/>
    <w:rsid w:val="00012CC7"/>
    <w:rsid w:val="00013519"/>
    <w:rsid w:val="00013AFA"/>
    <w:rsid w:val="00013F25"/>
    <w:rsid w:val="00013F2E"/>
    <w:rsid w:val="00014706"/>
    <w:rsid w:val="00014C0A"/>
    <w:rsid w:val="000154CB"/>
    <w:rsid w:val="00015565"/>
    <w:rsid w:val="0001570B"/>
    <w:rsid w:val="00015E92"/>
    <w:rsid w:val="000161EC"/>
    <w:rsid w:val="00016371"/>
    <w:rsid w:val="000164F5"/>
    <w:rsid w:val="00016AEA"/>
    <w:rsid w:val="00016F17"/>
    <w:rsid w:val="000177E5"/>
    <w:rsid w:val="00017CE6"/>
    <w:rsid w:val="00017E15"/>
    <w:rsid w:val="00017FFD"/>
    <w:rsid w:val="00020C72"/>
    <w:rsid w:val="0002138D"/>
    <w:rsid w:val="000217F6"/>
    <w:rsid w:val="00021CAA"/>
    <w:rsid w:val="0002236D"/>
    <w:rsid w:val="00022467"/>
    <w:rsid w:val="00022663"/>
    <w:rsid w:val="000226EF"/>
    <w:rsid w:val="00022B15"/>
    <w:rsid w:val="00022FD1"/>
    <w:rsid w:val="00023998"/>
    <w:rsid w:val="000239CF"/>
    <w:rsid w:val="000239E2"/>
    <w:rsid w:val="00023E22"/>
    <w:rsid w:val="00023EE6"/>
    <w:rsid w:val="0002430E"/>
    <w:rsid w:val="00024361"/>
    <w:rsid w:val="00024D4A"/>
    <w:rsid w:val="0002577D"/>
    <w:rsid w:val="000259B5"/>
    <w:rsid w:val="000260AF"/>
    <w:rsid w:val="00026DA4"/>
    <w:rsid w:val="0002770B"/>
    <w:rsid w:val="00027C88"/>
    <w:rsid w:val="00027DD8"/>
    <w:rsid w:val="000302D6"/>
    <w:rsid w:val="00030870"/>
    <w:rsid w:val="00031487"/>
    <w:rsid w:val="0003210B"/>
    <w:rsid w:val="00032E64"/>
    <w:rsid w:val="00032EB0"/>
    <w:rsid w:val="00032ED4"/>
    <w:rsid w:val="0003328E"/>
    <w:rsid w:val="00033CAC"/>
    <w:rsid w:val="00033ECF"/>
    <w:rsid w:val="000341E4"/>
    <w:rsid w:val="00034EFC"/>
    <w:rsid w:val="000350F4"/>
    <w:rsid w:val="000358B1"/>
    <w:rsid w:val="0003672E"/>
    <w:rsid w:val="000373EC"/>
    <w:rsid w:val="0003777A"/>
    <w:rsid w:val="00037980"/>
    <w:rsid w:val="00037D12"/>
    <w:rsid w:val="00040BA9"/>
    <w:rsid w:val="00042577"/>
    <w:rsid w:val="00042818"/>
    <w:rsid w:val="00042F56"/>
    <w:rsid w:val="00043F6F"/>
    <w:rsid w:val="000441A0"/>
    <w:rsid w:val="000447E4"/>
    <w:rsid w:val="00045EE6"/>
    <w:rsid w:val="00047252"/>
    <w:rsid w:val="00047AD3"/>
    <w:rsid w:val="00050429"/>
    <w:rsid w:val="000504DB"/>
    <w:rsid w:val="000509EF"/>
    <w:rsid w:val="00050C1C"/>
    <w:rsid w:val="00050E12"/>
    <w:rsid w:val="00050FD4"/>
    <w:rsid w:val="000512AF"/>
    <w:rsid w:val="00051889"/>
    <w:rsid w:val="00051B8E"/>
    <w:rsid w:val="00051E7F"/>
    <w:rsid w:val="000520C7"/>
    <w:rsid w:val="000524E6"/>
    <w:rsid w:val="00052D61"/>
    <w:rsid w:val="00052DC0"/>
    <w:rsid w:val="000532B1"/>
    <w:rsid w:val="00053504"/>
    <w:rsid w:val="000538DB"/>
    <w:rsid w:val="00053992"/>
    <w:rsid w:val="0005585B"/>
    <w:rsid w:val="0005589B"/>
    <w:rsid w:val="00055953"/>
    <w:rsid w:val="00055C6D"/>
    <w:rsid w:val="0005669D"/>
    <w:rsid w:val="00056982"/>
    <w:rsid w:val="00056B60"/>
    <w:rsid w:val="00057024"/>
    <w:rsid w:val="000574F2"/>
    <w:rsid w:val="00057FBB"/>
    <w:rsid w:val="00061D93"/>
    <w:rsid w:val="00062374"/>
    <w:rsid w:val="000628B4"/>
    <w:rsid w:val="00062CA7"/>
    <w:rsid w:val="00062DBF"/>
    <w:rsid w:val="00063452"/>
    <w:rsid w:val="00064C24"/>
    <w:rsid w:val="00065447"/>
    <w:rsid w:val="00065605"/>
    <w:rsid w:val="000656A1"/>
    <w:rsid w:val="00065D81"/>
    <w:rsid w:val="000668C7"/>
    <w:rsid w:val="00067DA6"/>
    <w:rsid w:val="0007020F"/>
    <w:rsid w:val="00070564"/>
    <w:rsid w:val="000706F6"/>
    <w:rsid w:val="000708D8"/>
    <w:rsid w:val="00071086"/>
    <w:rsid w:val="0007152B"/>
    <w:rsid w:val="00071FAC"/>
    <w:rsid w:val="00073145"/>
    <w:rsid w:val="0007335E"/>
    <w:rsid w:val="0007370A"/>
    <w:rsid w:val="00073944"/>
    <w:rsid w:val="000739BB"/>
    <w:rsid w:val="00073C10"/>
    <w:rsid w:val="000743B1"/>
    <w:rsid w:val="000746EA"/>
    <w:rsid w:val="000749B8"/>
    <w:rsid w:val="000749D5"/>
    <w:rsid w:val="00075643"/>
    <w:rsid w:val="00075BF7"/>
    <w:rsid w:val="000766B2"/>
    <w:rsid w:val="0007727A"/>
    <w:rsid w:val="00077BC7"/>
    <w:rsid w:val="00077D52"/>
    <w:rsid w:val="0008089D"/>
    <w:rsid w:val="00080E72"/>
    <w:rsid w:val="000819B8"/>
    <w:rsid w:val="00081EBD"/>
    <w:rsid w:val="00082695"/>
    <w:rsid w:val="00082E03"/>
    <w:rsid w:val="00082EAA"/>
    <w:rsid w:val="00082EFE"/>
    <w:rsid w:val="00083239"/>
    <w:rsid w:val="00083AAE"/>
    <w:rsid w:val="00083C2A"/>
    <w:rsid w:val="000848EF"/>
    <w:rsid w:val="00084A30"/>
    <w:rsid w:val="00084A5B"/>
    <w:rsid w:val="00084D40"/>
    <w:rsid w:val="00085069"/>
    <w:rsid w:val="00085652"/>
    <w:rsid w:val="00085C13"/>
    <w:rsid w:val="00086046"/>
    <w:rsid w:val="000861C3"/>
    <w:rsid w:val="0008645A"/>
    <w:rsid w:val="00086683"/>
    <w:rsid w:val="00086C1C"/>
    <w:rsid w:val="00086FB4"/>
    <w:rsid w:val="00087051"/>
    <w:rsid w:val="000870B8"/>
    <w:rsid w:val="000870C5"/>
    <w:rsid w:val="0008797B"/>
    <w:rsid w:val="00087A84"/>
    <w:rsid w:val="00087B10"/>
    <w:rsid w:val="00087E0C"/>
    <w:rsid w:val="00087E85"/>
    <w:rsid w:val="000901DB"/>
    <w:rsid w:val="00090413"/>
    <w:rsid w:val="00090537"/>
    <w:rsid w:val="00090B8E"/>
    <w:rsid w:val="00090C33"/>
    <w:rsid w:val="00090F01"/>
    <w:rsid w:val="00090F9C"/>
    <w:rsid w:val="0009152E"/>
    <w:rsid w:val="0009155C"/>
    <w:rsid w:val="000918F7"/>
    <w:rsid w:val="00091BC9"/>
    <w:rsid w:val="000927E1"/>
    <w:rsid w:val="00092863"/>
    <w:rsid w:val="00092FC7"/>
    <w:rsid w:val="0009328B"/>
    <w:rsid w:val="000937E9"/>
    <w:rsid w:val="00093B72"/>
    <w:rsid w:val="00094071"/>
    <w:rsid w:val="000942D4"/>
    <w:rsid w:val="00094865"/>
    <w:rsid w:val="00094E07"/>
    <w:rsid w:val="000951B0"/>
    <w:rsid w:val="0009583D"/>
    <w:rsid w:val="00096775"/>
    <w:rsid w:val="00097490"/>
    <w:rsid w:val="000975CA"/>
    <w:rsid w:val="000978A7"/>
    <w:rsid w:val="000A058E"/>
    <w:rsid w:val="000A065B"/>
    <w:rsid w:val="000A07BE"/>
    <w:rsid w:val="000A0AB8"/>
    <w:rsid w:val="000A10B3"/>
    <w:rsid w:val="000A1672"/>
    <w:rsid w:val="000A1778"/>
    <w:rsid w:val="000A1C74"/>
    <w:rsid w:val="000A2961"/>
    <w:rsid w:val="000A4B5B"/>
    <w:rsid w:val="000A4DF0"/>
    <w:rsid w:val="000A5379"/>
    <w:rsid w:val="000A58CD"/>
    <w:rsid w:val="000A5925"/>
    <w:rsid w:val="000A5B30"/>
    <w:rsid w:val="000A658D"/>
    <w:rsid w:val="000A6663"/>
    <w:rsid w:val="000A69A6"/>
    <w:rsid w:val="000A74B5"/>
    <w:rsid w:val="000A785E"/>
    <w:rsid w:val="000A789B"/>
    <w:rsid w:val="000A798C"/>
    <w:rsid w:val="000A7F31"/>
    <w:rsid w:val="000B0A76"/>
    <w:rsid w:val="000B2070"/>
    <w:rsid w:val="000B2C92"/>
    <w:rsid w:val="000B2DFE"/>
    <w:rsid w:val="000B2E69"/>
    <w:rsid w:val="000B3A27"/>
    <w:rsid w:val="000B3ACC"/>
    <w:rsid w:val="000B3BF2"/>
    <w:rsid w:val="000B41A8"/>
    <w:rsid w:val="000B4392"/>
    <w:rsid w:val="000B4D91"/>
    <w:rsid w:val="000B4E8F"/>
    <w:rsid w:val="000B4EC2"/>
    <w:rsid w:val="000B508F"/>
    <w:rsid w:val="000B583A"/>
    <w:rsid w:val="000B5BD9"/>
    <w:rsid w:val="000B5C40"/>
    <w:rsid w:val="000B61F5"/>
    <w:rsid w:val="000B634F"/>
    <w:rsid w:val="000B6B6E"/>
    <w:rsid w:val="000B6B8A"/>
    <w:rsid w:val="000B6C6D"/>
    <w:rsid w:val="000B7369"/>
    <w:rsid w:val="000B73D4"/>
    <w:rsid w:val="000B783A"/>
    <w:rsid w:val="000B78A6"/>
    <w:rsid w:val="000B7C34"/>
    <w:rsid w:val="000C03EF"/>
    <w:rsid w:val="000C1388"/>
    <w:rsid w:val="000C1AD1"/>
    <w:rsid w:val="000C1E8A"/>
    <w:rsid w:val="000C21A6"/>
    <w:rsid w:val="000C2CFB"/>
    <w:rsid w:val="000C2FF9"/>
    <w:rsid w:val="000C347A"/>
    <w:rsid w:val="000C363E"/>
    <w:rsid w:val="000C3F0E"/>
    <w:rsid w:val="000C5124"/>
    <w:rsid w:val="000C5261"/>
    <w:rsid w:val="000C55E8"/>
    <w:rsid w:val="000C5D09"/>
    <w:rsid w:val="000C5E3B"/>
    <w:rsid w:val="000C5F92"/>
    <w:rsid w:val="000C62D7"/>
    <w:rsid w:val="000C6319"/>
    <w:rsid w:val="000C68F6"/>
    <w:rsid w:val="000C69CA"/>
    <w:rsid w:val="000C6DA7"/>
    <w:rsid w:val="000C6DF0"/>
    <w:rsid w:val="000C745C"/>
    <w:rsid w:val="000C75CD"/>
    <w:rsid w:val="000C7AB7"/>
    <w:rsid w:val="000C7DDC"/>
    <w:rsid w:val="000D0019"/>
    <w:rsid w:val="000D0976"/>
    <w:rsid w:val="000D0BE4"/>
    <w:rsid w:val="000D1286"/>
    <w:rsid w:val="000D13D1"/>
    <w:rsid w:val="000D1689"/>
    <w:rsid w:val="000D175F"/>
    <w:rsid w:val="000D2A0F"/>
    <w:rsid w:val="000D3575"/>
    <w:rsid w:val="000D3644"/>
    <w:rsid w:val="000D3F19"/>
    <w:rsid w:val="000D5532"/>
    <w:rsid w:val="000D567B"/>
    <w:rsid w:val="000D5921"/>
    <w:rsid w:val="000D59B5"/>
    <w:rsid w:val="000D62B7"/>
    <w:rsid w:val="000D70B6"/>
    <w:rsid w:val="000D744B"/>
    <w:rsid w:val="000D7803"/>
    <w:rsid w:val="000D7A73"/>
    <w:rsid w:val="000E01C5"/>
    <w:rsid w:val="000E0FF9"/>
    <w:rsid w:val="000E11C1"/>
    <w:rsid w:val="000E12A0"/>
    <w:rsid w:val="000E1CB8"/>
    <w:rsid w:val="000E247B"/>
    <w:rsid w:val="000E2AA2"/>
    <w:rsid w:val="000E326D"/>
    <w:rsid w:val="000E359F"/>
    <w:rsid w:val="000E3A3E"/>
    <w:rsid w:val="000E4ABB"/>
    <w:rsid w:val="000E4E3D"/>
    <w:rsid w:val="000E5657"/>
    <w:rsid w:val="000E5965"/>
    <w:rsid w:val="000E6234"/>
    <w:rsid w:val="000E6672"/>
    <w:rsid w:val="000E674B"/>
    <w:rsid w:val="000E6984"/>
    <w:rsid w:val="000E6A53"/>
    <w:rsid w:val="000E708F"/>
    <w:rsid w:val="000E73D7"/>
    <w:rsid w:val="000E7830"/>
    <w:rsid w:val="000E7D54"/>
    <w:rsid w:val="000F0611"/>
    <w:rsid w:val="000F10ED"/>
    <w:rsid w:val="000F194A"/>
    <w:rsid w:val="000F1B75"/>
    <w:rsid w:val="000F20D9"/>
    <w:rsid w:val="000F210F"/>
    <w:rsid w:val="000F2120"/>
    <w:rsid w:val="000F2466"/>
    <w:rsid w:val="000F24BA"/>
    <w:rsid w:val="000F24C4"/>
    <w:rsid w:val="000F2A6A"/>
    <w:rsid w:val="000F39E2"/>
    <w:rsid w:val="000F4D65"/>
    <w:rsid w:val="000F4F6B"/>
    <w:rsid w:val="000F5141"/>
    <w:rsid w:val="000F53ED"/>
    <w:rsid w:val="000F5E4A"/>
    <w:rsid w:val="000F5F8A"/>
    <w:rsid w:val="000F7B76"/>
    <w:rsid w:val="0010012A"/>
    <w:rsid w:val="00100545"/>
    <w:rsid w:val="00100D57"/>
    <w:rsid w:val="00101DB8"/>
    <w:rsid w:val="00102049"/>
    <w:rsid w:val="00102DD3"/>
    <w:rsid w:val="00102DDC"/>
    <w:rsid w:val="001034D3"/>
    <w:rsid w:val="00103D0E"/>
    <w:rsid w:val="001040EE"/>
    <w:rsid w:val="001040F9"/>
    <w:rsid w:val="00104D68"/>
    <w:rsid w:val="001051F4"/>
    <w:rsid w:val="0010580E"/>
    <w:rsid w:val="00105F36"/>
    <w:rsid w:val="00106236"/>
    <w:rsid w:val="001064B2"/>
    <w:rsid w:val="00106B5D"/>
    <w:rsid w:val="00107976"/>
    <w:rsid w:val="00107FA2"/>
    <w:rsid w:val="001100AD"/>
    <w:rsid w:val="0011020F"/>
    <w:rsid w:val="001110C8"/>
    <w:rsid w:val="0011188E"/>
    <w:rsid w:val="00111D03"/>
    <w:rsid w:val="001121FE"/>
    <w:rsid w:val="00112491"/>
    <w:rsid w:val="001124F8"/>
    <w:rsid w:val="0011276A"/>
    <w:rsid w:val="00114563"/>
    <w:rsid w:val="00114904"/>
    <w:rsid w:val="001152BB"/>
    <w:rsid w:val="0011561C"/>
    <w:rsid w:val="0011572E"/>
    <w:rsid w:val="00115B2A"/>
    <w:rsid w:val="00115E75"/>
    <w:rsid w:val="001162EE"/>
    <w:rsid w:val="0011631A"/>
    <w:rsid w:val="001164EE"/>
    <w:rsid w:val="00116651"/>
    <w:rsid w:val="00116925"/>
    <w:rsid w:val="00116B04"/>
    <w:rsid w:val="0011711E"/>
    <w:rsid w:val="00117D3D"/>
    <w:rsid w:val="0012092F"/>
    <w:rsid w:val="001209D2"/>
    <w:rsid w:val="00122423"/>
    <w:rsid w:val="00122425"/>
    <w:rsid w:val="001227F6"/>
    <w:rsid w:val="00122F36"/>
    <w:rsid w:val="00123900"/>
    <w:rsid w:val="00124514"/>
    <w:rsid w:val="00124D18"/>
    <w:rsid w:val="00125859"/>
    <w:rsid w:val="00125C7B"/>
    <w:rsid w:val="00130215"/>
    <w:rsid w:val="0013025C"/>
    <w:rsid w:val="00130541"/>
    <w:rsid w:val="00130BB2"/>
    <w:rsid w:val="00131604"/>
    <w:rsid w:val="0013166A"/>
    <w:rsid w:val="001317EB"/>
    <w:rsid w:val="00131A49"/>
    <w:rsid w:val="00132071"/>
    <w:rsid w:val="00132B86"/>
    <w:rsid w:val="0013319D"/>
    <w:rsid w:val="00133681"/>
    <w:rsid w:val="001337B2"/>
    <w:rsid w:val="0013387E"/>
    <w:rsid w:val="001338F7"/>
    <w:rsid w:val="00134184"/>
    <w:rsid w:val="00134311"/>
    <w:rsid w:val="0013495F"/>
    <w:rsid w:val="00134A5F"/>
    <w:rsid w:val="00134C6F"/>
    <w:rsid w:val="0013549F"/>
    <w:rsid w:val="00136096"/>
    <w:rsid w:val="00136213"/>
    <w:rsid w:val="00136227"/>
    <w:rsid w:val="00136244"/>
    <w:rsid w:val="00136A72"/>
    <w:rsid w:val="00137DA6"/>
    <w:rsid w:val="0014000E"/>
    <w:rsid w:val="001404D9"/>
    <w:rsid w:val="001409C2"/>
    <w:rsid w:val="00140B59"/>
    <w:rsid w:val="00141108"/>
    <w:rsid w:val="00141D68"/>
    <w:rsid w:val="00141DA0"/>
    <w:rsid w:val="00142891"/>
    <w:rsid w:val="00143706"/>
    <w:rsid w:val="00143FB2"/>
    <w:rsid w:val="0014403B"/>
    <w:rsid w:val="00144834"/>
    <w:rsid w:val="001449C9"/>
    <w:rsid w:val="00144A57"/>
    <w:rsid w:val="0014521A"/>
    <w:rsid w:val="00145EF3"/>
    <w:rsid w:val="00145F08"/>
    <w:rsid w:val="00146087"/>
    <w:rsid w:val="00146572"/>
    <w:rsid w:val="001468A7"/>
    <w:rsid w:val="00147281"/>
    <w:rsid w:val="00147501"/>
    <w:rsid w:val="0014783C"/>
    <w:rsid w:val="001506E2"/>
    <w:rsid w:val="001508F0"/>
    <w:rsid w:val="00150C74"/>
    <w:rsid w:val="00150DD8"/>
    <w:rsid w:val="001517CD"/>
    <w:rsid w:val="0015255D"/>
    <w:rsid w:val="00152771"/>
    <w:rsid w:val="00152C71"/>
    <w:rsid w:val="001537A7"/>
    <w:rsid w:val="001540B0"/>
    <w:rsid w:val="00154C17"/>
    <w:rsid w:val="00154FC4"/>
    <w:rsid w:val="00155051"/>
    <w:rsid w:val="00155D23"/>
    <w:rsid w:val="00155D38"/>
    <w:rsid w:val="00156A88"/>
    <w:rsid w:val="001575D2"/>
    <w:rsid w:val="001576A4"/>
    <w:rsid w:val="00157B6C"/>
    <w:rsid w:val="0016001B"/>
    <w:rsid w:val="00160CBB"/>
    <w:rsid w:val="00162442"/>
    <w:rsid w:val="00162AAE"/>
    <w:rsid w:val="00162F42"/>
    <w:rsid w:val="00162FDB"/>
    <w:rsid w:val="00163C60"/>
    <w:rsid w:val="00163F1A"/>
    <w:rsid w:val="00164691"/>
    <w:rsid w:val="0016553B"/>
    <w:rsid w:val="001658CE"/>
    <w:rsid w:val="00165C43"/>
    <w:rsid w:val="00165C56"/>
    <w:rsid w:val="00165C6B"/>
    <w:rsid w:val="0016703A"/>
    <w:rsid w:val="001670FE"/>
    <w:rsid w:val="001674BF"/>
    <w:rsid w:val="00167AD7"/>
    <w:rsid w:val="0017034F"/>
    <w:rsid w:val="00170BF8"/>
    <w:rsid w:val="0017189E"/>
    <w:rsid w:val="001718CF"/>
    <w:rsid w:val="00172552"/>
    <w:rsid w:val="00172618"/>
    <w:rsid w:val="00172C6B"/>
    <w:rsid w:val="00172F4C"/>
    <w:rsid w:val="00173508"/>
    <w:rsid w:val="00173571"/>
    <w:rsid w:val="001736BB"/>
    <w:rsid w:val="001736FF"/>
    <w:rsid w:val="00173881"/>
    <w:rsid w:val="0017401A"/>
    <w:rsid w:val="001743ED"/>
    <w:rsid w:val="001744D6"/>
    <w:rsid w:val="0017528F"/>
    <w:rsid w:val="00175701"/>
    <w:rsid w:val="00175EF7"/>
    <w:rsid w:val="001766CC"/>
    <w:rsid w:val="00176A04"/>
    <w:rsid w:val="00176FAB"/>
    <w:rsid w:val="0017726C"/>
    <w:rsid w:val="0017735C"/>
    <w:rsid w:val="00177EDB"/>
    <w:rsid w:val="00181001"/>
    <w:rsid w:val="001810D8"/>
    <w:rsid w:val="00181362"/>
    <w:rsid w:val="00181657"/>
    <w:rsid w:val="00181962"/>
    <w:rsid w:val="00181AC1"/>
    <w:rsid w:val="00181C45"/>
    <w:rsid w:val="00181FD7"/>
    <w:rsid w:val="0018291D"/>
    <w:rsid w:val="00182BA3"/>
    <w:rsid w:val="00183C6C"/>
    <w:rsid w:val="00183CB4"/>
    <w:rsid w:val="001841F3"/>
    <w:rsid w:val="001845CD"/>
    <w:rsid w:val="0018489E"/>
    <w:rsid w:val="00185281"/>
    <w:rsid w:val="001852EE"/>
    <w:rsid w:val="00185751"/>
    <w:rsid w:val="0018605E"/>
    <w:rsid w:val="00187CD2"/>
    <w:rsid w:val="00190068"/>
    <w:rsid w:val="001908D1"/>
    <w:rsid w:val="0019093E"/>
    <w:rsid w:val="00191353"/>
    <w:rsid w:val="0019224E"/>
    <w:rsid w:val="001922AE"/>
    <w:rsid w:val="001923A0"/>
    <w:rsid w:val="001924FB"/>
    <w:rsid w:val="00192744"/>
    <w:rsid w:val="0019308D"/>
    <w:rsid w:val="001933C1"/>
    <w:rsid w:val="001946F0"/>
    <w:rsid w:val="00194F43"/>
    <w:rsid w:val="00195034"/>
    <w:rsid w:val="001956F5"/>
    <w:rsid w:val="001959AF"/>
    <w:rsid w:val="00196362"/>
    <w:rsid w:val="0019665D"/>
    <w:rsid w:val="00196A60"/>
    <w:rsid w:val="00196CFC"/>
    <w:rsid w:val="00197138"/>
    <w:rsid w:val="00197335"/>
    <w:rsid w:val="0019760E"/>
    <w:rsid w:val="001977EF"/>
    <w:rsid w:val="001A0274"/>
    <w:rsid w:val="001A027E"/>
    <w:rsid w:val="001A0CBE"/>
    <w:rsid w:val="001A1080"/>
    <w:rsid w:val="001A10D7"/>
    <w:rsid w:val="001A1549"/>
    <w:rsid w:val="001A18F9"/>
    <w:rsid w:val="001A18FB"/>
    <w:rsid w:val="001A2135"/>
    <w:rsid w:val="001A3504"/>
    <w:rsid w:val="001A3BE4"/>
    <w:rsid w:val="001A4101"/>
    <w:rsid w:val="001A433C"/>
    <w:rsid w:val="001A4E2A"/>
    <w:rsid w:val="001A4E77"/>
    <w:rsid w:val="001A58E5"/>
    <w:rsid w:val="001A5DB5"/>
    <w:rsid w:val="001A5E2D"/>
    <w:rsid w:val="001A60B5"/>
    <w:rsid w:val="001A6312"/>
    <w:rsid w:val="001A6562"/>
    <w:rsid w:val="001A745E"/>
    <w:rsid w:val="001B052F"/>
    <w:rsid w:val="001B05EE"/>
    <w:rsid w:val="001B063F"/>
    <w:rsid w:val="001B0936"/>
    <w:rsid w:val="001B0E8A"/>
    <w:rsid w:val="001B0EA4"/>
    <w:rsid w:val="001B10D3"/>
    <w:rsid w:val="001B1E5F"/>
    <w:rsid w:val="001B1FDE"/>
    <w:rsid w:val="001B22B2"/>
    <w:rsid w:val="001B284D"/>
    <w:rsid w:val="001B29F2"/>
    <w:rsid w:val="001B2CE6"/>
    <w:rsid w:val="001B2E85"/>
    <w:rsid w:val="001B3F03"/>
    <w:rsid w:val="001B4350"/>
    <w:rsid w:val="001B45CF"/>
    <w:rsid w:val="001B5022"/>
    <w:rsid w:val="001B50E5"/>
    <w:rsid w:val="001B5160"/>
    <w:rsid w:val="001B57C4"/>
    <w:rsid w:val="001B5801"/>
    <w:rsid w:val="001B5B3F"/>
    <w:rsid w:val="001B5CF6"/>
    <w:rsid w:val="001B78C2"/>
    <w:rsid w:val="001B7BA6"/>
    <w:rsid w:val="001B7FC2"/>
    <w:rsid w:val="001C03BE"/>
    <w:rsid w:val="001C10C1"/>
    <w:rsid w:val="001C11B9"/>
    <w:rsid w:val="001C1667"/>
    <w:rsid w:val="001C188C"/>
    <w:rsid w:val="001C1F17"/>
    <w:rsid w:val="001C2349"/>
    <w:rsid w:val="001C258D"/>
    <w:rsid w:val="001C25DC"/>
    <w:rsid w:val="001C295F"/>
    <w:rsid w:val="001C2ACE"/>
    <w:rsid w:val="001C3088"/>
    <w:rsid w:val="001C3746"/>
    <w:rsid w:val="001C3C12"/>
    <w:rsid w:val="001C3C4F"/>
    <w:rsid w:val="001C4489"/>
    <w:rsid w:val="001C5787"/>
    <w:rsid w:val="001C5F3C"/>
    <w:rsid w:val="001C6071"/>
    <w:rsid w:val="001C6791"/>
    <w:rsid w:val="001C6B70"/>
    <w:rsid w:val="001C6CB3"/>
    <w:rsid w:val="001C712F"/>
    <w:rsid w:val="001D0091"/>
    <w:rsid w:val="001D1DE8"/>
    <w:rsid w:val="001D21E8"/>
    <w:rsid w:val="001D286D"/>
    <w:rsid w:val="001D3387"/>
    <w:rsid w:val="001D42AB"/>
    <w:rsid w:val="001D454E"/>
    <w:rsid w:val="001D4BEE"/>
    <w:rsid w:val="001D53DC"/>
    <w:rsid w:val="001D56BE"/>
    <w:rsid w:val="001D64A4"/>
    <w:rsid w:val="001D6DA3"/>
    <w:rsid w:val="001D6F8D"/>
    <w:rsid w:val="001D76FB"/>
    <w:rsid w:val="001D7FBB"/>
    <w:rsid w:val="001E0E9F"/>
    <w:rsid w:val="001E13C4"/>
    <w:rsid w:val="001E1C90"/>
    <w:rsid w:val="001E204C"/>
    <w:rsid w:val="001E2C7D"/>
    <w:rsid w:val="001E2F5E"/>
    <w:rsid w:val="001E2FFE"/>
    <w:rsid w:val="001E3110"/>
    <w:rsid w:val="001E3E71"/>
    <w:rsid w:val="001E3F23"/>
    <w:rsid w:val="001E3F5F"/>
    <w:rsid w:val="001E4002"/>
    <w:rsid w:val="001E434D"/>
    <w:rsid w:val="001E4B9B"/>
    <w:rsid w:val="001E53E9"/>
    <w:rsid w:val="001E58EA"/>
    <w:rsid w:val="001E5AE7"/>
    <w:rsid w:val="001E5B9C"/>
    <w:rsid w:val="001E5FC9"/>
    <w:rsid w:val="001E608E"/>
    <w:rsid w:val="001E6188"/>
    <w:rsid w:val="001E6DC6"/>
    <w:rsid w:val="001E723B"/>
    <w:rsid w:val="001F19A7"/>
    <w:rsid w:val="001F2429"/>
    <w:rsid w:val="001F2851"/>
    <w:rsid w:val="001F2BA1"/>
    <w:rsid w:val="001F3105"/>
    <w:rsid w:val="001F3DE3"/>
    <w:rsid w:val="001F3E64"/>
    <w:rsid w:val="001F3F7B"/>
    <w:rsid w:val="001F4618"/>
    <w:rsid w:val="001F5ECB"/>
    <w:rsid w:val="001F66D2"/>
    <w:rsid w:val="001F74C4"/>
    <w:rsid w:val="001F76EF"/>
    <w:rsid w:val="001F7DB4"/>
    <w:rsid w:val="0020100A"/>
    <w:rsid w:val="00201223"/>
    <w:rsid w:val="002012EC"/>
    <w:rsid w:val="002019FD"/>
    <w:rsid w:val="00201B13"/>
    <w:rsid w:val="002026D5"/>
    <w:rsid w:val="00202706"/>
    <w:rsid w:val="002030DF"/>
    <w:rsid w:val="002032CC"/>
    <w:rsid w:val="002032DF"/>
    <w:rsid w:val="002035AC"/>
    <w:rsid w:val="00203883"/>
    <w:rsid w:val="00203BFF"/>
    <w:rsid w:val="00203E14"/>
    <w:rsid w:val="00204C9D"/>
    <w:rsid w:val="00204E30"/>
    <w:rsid w:val="00204F6E"/>
    <w:rsid w:val="00205F1E"/>
    <w:rsid w:val="00206CE2"/>
    <w:rsid w:val="00207316"/>
    <w:rsid w:val="0020774F"/>
    <w:rsid w:val="00207FDE"/>
    <w:rsid w:val="00211193"/>
    <w:rsid w:val="00211508"/>
    <w:rsid w:val="0021172B"/>
    <w:rsid w:val="002118FA"/>
    <w:rsid w:val="00211AE2"/>
    <w:rsid w:val="00211D22"/>
    <w:rsid w:val="00211F69"/>
    <w:rsid w:val="00212178"/>
    <w:rsid w:val="0021224B"/>
    <w:rsid w:val="00212673"/>
    <w:rsid w:val="00212A5B"/>
    <w:rsid w:val="00212D9B"/>
    <w:rsid w:val="00212DD0"/>
    <w:rsid w:val="00212E6E"/>
    <w:rsid w:val="00212F64"/>
    <w:rsid w:val="00213256"/>
    <w:rsid w:val="00214FD1"/>
    <w:rsid w:val="002155A8"/>
    <w:rsid w:val="00216146"/>
    <w:rsid w:val="00216C37"/>
    <w:rsid w:val="00216E50"/>
    <w:rsid w:val="0021774B"/>
    <w:rsid w:val="002178AE"/>
    <w:rsid w:val="00217A09"/>
    <w:rsid w:val="00220330"/>
    <w:rsid w:val="00220530"/>
    <w:rsid w:val="0022090E"/>
    <w:rsid w:val="00220C01"/>
    <w:rsid w:val="00220D9E"/>
    <w:rsid w:val="002210C9"/>
    <w:rsid w:val="00221418"/>
    <w:rsid w:val="002214C0"/>
    <w:rsid w:val="00221653"/>
    <w:rsid w:val="002216B6"/>
    <w:rsid w:val="0022178A"/>
    <w:rsid w:val="002222FC"/>
    <w:rsid w:val="0022352C"/>
    <w:rsid w:val="00223B5E"/>
    <w:rsid w:val="00223CCA"/>
    <w:rsid w:val="0022481F"/>
    <w:rsid w:val="00224B4F"/>
    <w:rsid w:val="00224CB4"/>
    <w:rsid w:val="00224D89"/>
    <w:rsid w:val="00224F9F"/>
    <w:rsid w:val="00224FFC"/>
    <w:rsid w:val="00225282"/>
    <w:rsid w:val="0022616A"/>
    <w:rsid w:val="00226A99"/>
    <w:rsid w:val="0022718E"/>
    <w:rsid w:val="00227772"/>
    <w:rsid w:val="002278D8"/>
    <w:rsid w:val="00227B97"/>
    <w:rsid w:val="002302F5"/>
    <w:rsid w:val="002305D1"/>
    <w:rsid w:val="002311CC"/>
    <w:rsid w:val="00231AE2"/>
    <w:rsid w:val="00232127"/>
    <w:rsid w:val="00232877"/>
    <w:rsid w:val="002329E2"/>
    <w:rsid w:val="00232C89"/>
    <w:rsid w:val="00232D49"/>
    <w:rsid w:val="00233888"/>
    <w:rsid w:val="0023401B"/>
    <w:rsid w:val="00234085"/>
    <w:rsid w:val="00234197"/>
    <w:rsid w:val="002343A1"/>
    <w:rsid w:val="00234DF1"/>
    <w:rsid w:val="002351DD"/>
    <w:rsid w:val="002359EB"/>
    <w:rsid w:val="00235B59"/>
    <w:rsid w:val="0023619D"/>
    <w:rsid w:val="002371E1"/>
    <w:rsid w:val="00237892"/>
    <w:rsid w:val="00237AB8"/>
    <w:rsid w:val="00240410"/>
    <w:rsid w:val="002405B0"/>
    <w:rsid w:val="00241BB2"/>
    <w:rsid w:val="00241F01"/>
    <w:rsid w:val="00243A38"/>
    <w:rsid w:val="00244136"/>
    <w:rsid w:val="002447F2"/>
    <w:rsid w:val="00244C60"/>
    <w:rsid w:val="00244C7A"/>
    <w:rsid w:val="00245641"/>
    <w:rsid w:val="00245B83"/>
    <w:rsid w:val="00245F66"/>
    <w:rsid w:val="002465FE"/>
    <w:rsid w:val="00246714"/>
    <w:rsid w:val="00247564"/>
    <w:rsid w:val="00247685"/>
    <w:rsid w:val="00250030"/>
    <w:rsid w:val="0025050A"/>
    <w:rsid w:val="00250F42"/>
    <w:rsid w:val="002516BB"/>
    <w:rsid w:val="00251E73"/>
    <w:rsid w:val="00251F23"/>
    <w:rsid w:val="00251FA6"/>
    <w:rsid w:val="00253233"/>
    <w:rsid w:val="002539CF"/>
    <w:rsid w:val="00253AE0"/>
    <w:rsid w:val="00253B85"/>
    <w:rsid w:val="00253EB9"/>
    <w:rsid w:val="00253FDA"/>
    <w:rsid w:val="002540BF"/>
    <w:rsid w:val="002547FB"/>
    <w:rsid w:val="00254B42"/>
    <w:rsid w:val="00254F8E"/>
    <w:rsid w:val="0025617A"/>
    <w:rsid w:val="002564D0"/>
    <w:rsid w:val="00256C09"/>
    <w:rsid w:val="002573A6"/>
    <w:rsid w:val="00257B05"/>
    <w:rsid w:val="002603DE"/>
    <w:rsid w:val="002605EA"/>
    <w:rsid w:val="002606D2"/>
    <w:rsid w:val="00262821"/>
    <w:rsid w:val="00262E29"/>
    <w:rsid w:val="00263112"/>
    <w:rsid w:val="002633C1"/>
    <w:rsid w:val="00263E40"/>
    <w:rsid w:val="00263F3D"/>
    <w:rsid w:val="0026480E"/>
    <w:rsid w:val="00264F54"/>
    <w:rsid w:val="00265029"/>
    <w:rsid w:val="0026505E"/>
    <w:rsid w:val="00265364"/>
    <w:rsid w:val="002654E9"/>
    <w:rsid w:val="00265728"/>
    <w:rsid w:val="002659EC"/>
    <w:rsid w:val="00265C03"/>
    <w:rsid w:val="00265F45"/>
    <w:rsid w:val="002663B9"/>
    <w:rsid w:val="0026647D"/>
    <w:rsid w:val="00266BFD"/>
    <w:rsid w:val="00266F4E"/>
    <w:rsid w:val="00267839"/>
    <w:rsid w:val="00267D57"/>
    <w:rsid w:val="00270354"/>
    <w:rsid w:val="00270A7A"/>
    <w:rsid w:val="00270FBF"/>
    <w:rsid w:val="00271191"/>
    <w:rsid w:val="0027194E"/>
    <w:rsid w:val="00272B60"/>
    <w:rsid w:val="00272F72"/>
    <w:rsid w:val="002730E9"/>
    <w:rsid w:val="00273A76"/>
    <w:rsid w:val="00273BE0"/>
    <w:rsid w:val="00273F4B"/>
    <w:rsid w:val="002743DD"/>
    <w:rsid w:val="00274504"/>
    <w:rsid w:val="002745E0"/>
    <w:rsid w:val="00274F78"/>
    <w:rsid w:val="00275EC9"/>
    <w:rsid w:val="00276974"/>
    <w:rsid w:val="00276E9F"/>
    <w:rsid w:val="00277024"/>
    <w:rsid w:val="0027779D"/>
    <w:rsid w:val="00277CD5"/>
    <w:rsid w:val="00277EBA"/>
    <w:rsid w:val="002800B2"/>
    <w:rsid w:val="002803E1"/>
    <w:rsid w:val="0028106B"/>
    <w:rsid w:val="00281727"/>
    <w:rsid w:val="00281869"/>
    <w:rsid w:val="00281D3E"/>
    <w:rsid w:val="0028227A"/>
    <w:rsid w:val="002827F9"/>
    <w:rsid w:val="00282B4B"/>
    <w:rsid w:val="002833C5"/>
    <w:rsid w:val="002834EC"/>
    <w:rsid w:val="002837AA"/>
    <w:rsid w:val="00284ECE"/>
    <w:rsid w:val="00285641"/>
    <w:rsid w:val="002861A0"/>
    <w:rsid w:val="0028672A"/>
    <w:rsid w:val="00286C29"/>
    <w:rsid w:val="002870BB"/>
    <w:rsid w:val="00287276"/>
    <w:rsid w:val="00287569"/>
    <w:rsid w:val="002901A7"/>
    <w:rsid w:val="002901B4"/>
    <w:rsid w:val="002902D2"/>
    <w:rsid w:val="00290C56"/>
    <w:rsid w:val="002911C0"/>
    <w:rsid w:val="00291227"/>
    <w:rsid w:val="00291D03"/>
    <w:rsid w:val="00291FDF"/>
    <w:rsid w:val="0029222A"/>
    <w:rsid w:val="00292A45"/>
    <w:rsid w:val="002930D0"/>
    <w:rsid w:val="00293297"/>
    <w:rsid w:val="00293FF2"/>
    <w:rsid w:val="0029452D"/>
    <w:rsid w:val="00294692"/>
    <w:rsid w:val="0029498D"/>
    <w:rsid w:val="00294CB8"/>
    <w:rsid w:val="00294FC4"/>
    <w:rsid w:val="002953B2"/>
    <w:rsid w:val="002954D5"/>
    <w:rsid w:val="0029596D"/>
    <w:rsid w:val="00295B05"/>
    <w:rsid w:val="00295E56"/>
    <w:rsid w:val="00295F21"/>
    <w:rsid w:val="0029628D"/>
    <w:rsid w:val="00296837"/>
    <w:rsid w:val="0029689C"/>
    <w:rsid w:val="002970BC"/>
    <w:rsid w:val="002971A2"/>
    <w:rsid w:val="00297643"/>
    <w:rsid w:val="00297D2F"/>
    <w:rsid w:val="00297DF9"/>
    <w:rsid w:val="002A030D"/>
    <w:rsid w:val="002A04FA"/>
    <w:rsid w:val="002A052E"/>
    <w:rsid w:val="002A0B17"/>
    <w:rsid w:val="002A1024"/>
    <w:rsid w:val="002A1034"/>
    <w:rsid w:val="002A19DE"/>
    <w:rsid w:val="002A21EA"/>
    <w:rsid w:val="002A23F4"/>
    <w:rsid w:val="002A2878"/>
    <w:rsid w:val="002A2DFF"/>
    <w:rsid w:val="002A2F2A"/>
    <w:rsid w:val="002A6394"/>
    <w:rsid w:val="002A779D"/>
    <w:rsid w:val="002B0017"/>
    <w:rsid w:val="002B0116"/>
    <w:rsid w:val="002B04FB"/>
    <w:rsid w:val="002B0E36"/>
    <w:rsid w:val="002B10F3"/>
    <w:rsid w:val="002B135D"/>
    <w:rsid w:val="002B1D05"/>
    <w:rsid w:val="002B229D"/>
    <w:rsid w:val="002B2583"/>
    <w:rsid w:val="002B258E"/>
    <w:rsid w:val="002B279D"/>
    <w:rsid w:val="002B27E8"/>
    <w:rsid w:val="002B2FEC"/>
    <w:rsid w:val="002B3327"/>
    <w:rsid w:val="002B36F3"/>
    <w:rsid w:val="002B3CFB"/>
    <w:rsid w:val="002B3D55"/>
    <w:rsid w:val="002B4015"/>
    <w:rsid w:val="002B413F"/>
    <w:rsid w:val="002B571D"/>
    <w:rsid w:val="002B59F4"/>
    <w:rsid w:val="002B65A0"/>
    <w:rsid w:val="002B7A75"/>
    <w:rsid w:val="002B7B73"/>
    <w:rsid w:val="002B7CB6"/>
    <w:rsid w:val="002B7EA7"/>
    <w:rsid w:val="002C037C"/>
    <w:rsid w:val="002C084C"/>
    <w:rsid w:val="002C091F"/>
    <w:rsid w:val="002C0B30"/>
    <w:rsid w:val="002C0D2B"/>
    <w:rsid w:val="002C1465"/>
    <w:rsid w:val="002C14D4"/>
    <w:rsid w:val="002C1628"/>
    <w:rsid w:val="002C2950"/>
    <w:rsid w:val="002C2BFB"/>
    <w:rsid w:val="002C2D14"/>
    <w:rsid w:val="002C3078"/>
    <w:rsid w:val="002C35FB"/>
    <w:rsid w:val="002C3654"/>
    <w:rsid w:val="002C3AA3"/>
    <w:rsid w:val="002C3CBD"/>
    <w:rsid w:val="002C4824"/>
    <w:rsid w:val="002C4CD7"/>
    <w:rsid w:val="002C5168"/>
    <w:rsid w:val="002C6A9A"/>
    <w:rsid w:val="002C6F81"/>
    <w:rsid w:val="002C70B8"/>
    <w:rsid w:val="002C7415"/>
    <w:rsid w:val="002C79FE"/>
    <w:rsid w:val="002C7CA2"/>
    <w:rsid w:val="002C7E5B"/>
    <w:rsid w:val="002C7F16"/>
    <w:rsid w:val="002D0C3F"/>
    <w:rsid w:val="002D37F3"/>
    <w:rsid w:val="002D41EA"/>
    <w:rsid w:val="002D4CE6"/>
    <w:rsid w:val="002D5097"/>
    <w:rsid w:val="002D5145"/>
    <w:rsid w:val="002D5900"/>
    <w:rsid w:val="002D60A3"/>
    <w:rsid w:val="002D6323"/>
    <w:rsid w:val="002D6D8F"/>
    <w:rsid w:val="002D6EFE"/>
    <w:rsid w:val="002D714A"/>
    <w:rsid w:val="002E1057"/>
    <w:rsid w:val="002E10B1"/>
    <w:rsid w:val="002E1867"/>
    <w:rsid w:val="002E19FC"/>
    <w:rsid w:val="002E1A70"/>
    <w:rsid w:val="002E1A80"/>
    <w:rsid w:val="002E1E69"/>
    <w:rsid w:val="002E2654"/>
    <w:rsid w:val="002E2D48"/>
    <w:rsid w:val="002E40DF"/>
    <w:rsid w:val="002E49E4"/>
    <w:rsid w:val="002E49FF"/>
    <w:rsid w:val="002E4A32"/>
    <w:rsid w:val="002E4A85"/>
    <w:rsid w:val="002E51A2"/>
    <w:rsid w:val="002E520E"/>
    <w:rsid w:val="002E5632"/>
    <w:rsid w:val="002E5C13"/>
    <w:rsid w:val="002E5EC0"/>
    <w:rsid w:val="002E603A"/>
    <w:rsid w:val="002E6193"/>
    <w:rsid w:val="002E6294"/>
    <w:rsid w:val="002E6689"/>
    <w:rsid w:val="002E6CA3"/>
    <w:rsid w:val="002E6F8B"/>
    <w:rsid w:val="002E7077"/>
    <w:rsid w:val="002E7085"/>
    <w:rsid w:val="002E743A"/>
    <w:rsid w:val="002E75DD"/>
    <w:rsid w:val="002E7718"/>
    <w:rsid w:val="002E7D21"/>
    <w:rsid w:val="002F00DB"/>
    <w:rsid w:val="002F069E"/>
    <w:rsid w:val="002F06A5"/>
    <w:rsid w:val="002F0881"/>
    <w:rsid w:val="002F0D01"/>
    <w:rsid w:val="002F0D13"/>
    <w:rsid w:val="002F2714"/>
    <w:rsid w:val="002F2937"/>
    <w:rsid w:val="002F2F6B"/>
    <w:rsid w:val="002F3308"/>
    <w:rsid w:val="002F3330"/>
    <w:rsid w:val="002F34C6"/>
    <w:rsid w:val="002F355B"/>
    <w:rsid w:val="002F3605"/>
    <w:rsid w:val="002F3677"/>
    <w:rsid w:val="002F367B"/>
    <w:rsid w:val="002F3BD3"/>
    <w:rsid w:val="002F3BF2"/>
    <w:rsid w:val="002F3D30"/>
    <w:rsid w:val="002F3F97"/>
    <w:rsid w:val="002F3FC3"/>
    <w:rsid w:val="002F40AF"/>
    <w:rsid w:val="002F40FD"/>
    <w:rsid w:val="002F4CE9"/>
    <w:rsid w:val="002F4E1E"/>
    <w:rsid w:val="002F4E3E"/>
    <w:rsid w:val="002F5705"/>
    <w:rsid w:val="002F5BD9"/>
    <w:rsid w:val="002F5D22"/>
    <w:rsid w:val="002F5E80"/>
    <w:rsid w:val="002F621C"/>
    <w:rsid w:val="002F6AAD"/>
    <w:rsid w:val="002F6EC1"/>
    <w:rsid w:val="002F7953"/>
    <w:rsid w:val="002F7960"/>
    <w:rsid w:val="00300BAA"/>
    <w:rsid w:val="0030139C"/>
    <w:rsid w:val="003014B5"/>
    <w:rsid w:val="003016C6"/>
    <w:rsid w:val="00301D93"/>
    <w:rsid w:val="0030246F"/>
    <w:rsid w:val="00302994"/>
    <w:rsid w:val="00302E74"/>
    <w:rsid w:val="00302F9F"/>
    <w:rsid w:val="00303389"/>
    <w:rsid w:val="003033EB"/>
    <w:rsid w:val="0030345C"/>
    <w:rsid w:val="00303702"/>
    <w:rsid w:val="00303730"/>
    <w:rsid w:val="00303C36"/>
    <w:rsid w:val="00303D6A"/>
    <w:rsid w:val="003041EF"/>
    <w:rsid w:val="003046AD"/>
    <w:rsid w:val="0030536B"/>
    <w:rsid w:val="00305F1F"/>
    <w:rsid w:val="003069DB"/>
    <w:rsid w:val="003073A1"/>
    <w:rsid w:val="003078CC"/>
    <w:rsid w:val="00307BD0"/>
    <w:rsid w:val="00310118"/>
    <w:rsid w:val="003102FD"/>
    <w:rsid w:val="00310AA1"/>
    <w:rsid w:val="00311D59"/>
    <w:rsid w:val="00311D61"/>
    <w:rsid w:val="00311E67"/>
    <w:rsid w:val="0031291E"/>
    <w:rsid w:val="00313154"/>
    <w:rsid w:val="00313E22"/>
    <w:rsid w:val="00313E5F"/>
    <w:rsid w:val="0031566D"/>
    <w:rsid w:val="0031586B"/>
    <w:rsid w:val="0031615B"/>
    <w:rsid w:val="00316E28"/>
    <w:rsid w:val="003175F4"/>
    <w:rsid w:val="00320C20"/>
    <w:rsid w:val="00321BA5"/>
    <w:rsid w:val="00321FC1"/>
    <w:rsid w:val="00322BCC"/>
    <w:rsid w:val="003237E9"/>
    <w:rsid w:val="003239A9"/>
    <w:rsid w:val="00324CEF"/>
    <w:rsid w:val="003252C4"/>
    <w:rsid w:val="00325B36"/>
    <w:rsid w:val="0032611A"/>
    <w:rsid w:val="00326410"/>
    <w:rsid w:val="0032768D"/>
    <w:rsid w:val="00327BCA"/>
    <w:rsid w:val="003300EA"/>
    <w:rsid w:val="003307A7"/>
    <w:rsid w:val="003308E9"/>
    <w:rsid w:val="00330C68"/>
    <w:rsid w:val="00331003"/>
    <w:rsid w:val="00332003"/>
    <w:rsid w:val="00332543"/>
    <w:rsid w:val="003325BA"/>
    <w:rsid w:val="003326B6"/>
    <w:rsid w:val="00332AD6"/>
    <w:rsid w:val="00332EE0"/>
    <w:rsid w:val="00332F88"/>
    <w:rsid w:val="0033311A"/>
    <w:rsid w:val="0033337E"/>
    <w:rsid w:val="00334A21"/>
    <w:rsid w:val="00334C79"/>
    <w:rsid w:val="00334FFB"/>
    <w:rsid w:val="00335314"/>
    <w:rsid w:val="0033570B"/>
    <w:rsid w:val="00335AE9"/>
    <w:rsid w:val="00336546"/>
    <w:rsid w:val="003366B5"/>
    <w:rsid w:val="003376DB"/>
    <w:rsid w:val="003379D3"/>
    <w:rsid w:val="00337B0A"/>
    <w:rsid w:val="00340016"/>
    <w:rsid w:val="00340099"/>
    <w:rsid w:val="00340A58"/>
    <w:rsid w:val="00341AED"/>
    <w:rsid w:val="00341C11"/>
    <w:rsid w:val="00341CF4"/>
    <w:rsid w:val="00341FF5"/>
    <w:rsid w:val="00342967"/>
    <w:rsid w:val="00342B46"/>
    <w:rsid w:val="00342CC4"/>
    <w:rsid w:val="003432D1"/>
    <w:rsid w:val="00343ABD"/>
    <w:rsid w:val="00343AC2"/>
    <w:rsid w:val="00344191"/>
    <w:rsid w:val="00344FAB"/>
    <w:rsid w:val="00344FE8"/>
    <w:rsid w:val="003451B1"/>
    <w:rsid w:val="0034535C"/>
    <w:rsid w:val="003457E7"/>
    <w:rsid w:val="003459F9"/>
    <w:rsid w:val="00345EB9"/>
    <w:rsid w:val="003460A5"/>
    <w:rsid w:val="0034622A"/>
    <w:rsid w:val="0034641B"/>
    <w:rsid w:val="0034664D"/>
    <w:rsid w:val="003468A9"/>
    <w:rsid w:val="00346F49"/>
    <w:rsid w:val="00347159"/>
    <w:rsid w:val="003473A0"/>
    <w:rsid w:val="00347489"/>
    <w:rsid w:val="0034768C"/>
    <w:rsid w:val="00347823"/>
    <w:rsid w:val="003479BA"/>
    <w:rsid w:val="00347DFB"/>
    <w:rsid w:val="0035051C"/>
    <w:rsid w:val="00350A34"/>
    <w:rsid w:val="00351975"/>
    <w:rsid w:val="00353363"/>
    <w:rsid w:val="003544F9"/>
    <w:rsid w:val="00355197"/>
    <w:rsid w:val="003554BD"/>
    <w:rsid w:val="00355EA1"/>
    <w:rsid w:val="00356273"/>
    <w:rsid w:val="00357444"/>
    <w:rsid w:val="00357D21"/>
    <w:rsid w:val="00360434"/>
    <w:rsid w:val="0036043E"/>
    <w:rsid w:val="00360B03"/>
    <w:rsid w:val="00360BFA"/>
    <w:rsid w:val="00361312"/>
    <w:rsid w:val="00361949"/>
    <w:rsid w:val="00361B2D"/>
    <w:rsid w:val="00361CC7"/>
    <w:rsid w:val="0036244F"/>
    <w:rsid w:val="003628A8"/>
    <w:rsid w:val="00362EC3"/>
    <w:rsid w:val="003632BF"/>
    <w:rsid w:val="00363471"/>
    <w:rsid w:val="00363BAC"/>
    <w:rsid w:val="00363EDA"/>
    <w:rsid w:val="00364274"/>
    <w:rsid w:val="003659A8"/>
    <w:rsid w:val="003667F7"/>
    <w:rsid w:val="00366EB3"/>
    <w:rsid w:val="003671B7"/>
    <w:rsid w:val="00367301"/>
    <w:rsid w:val="0036795B"/>
    <w:rsid w:val="00367B8E"/>
    <w:rsid w:val="00370556"/>
    <w:rsid w:val="00370625"/>
    <w:rsid w:val="00370C7E"/>
    <w:rsid w:val="00370F71"/>
    <w:rsid w:val="00371217"/>
    <w:rsid w:val="00371563"/>
    <w:rsid w:val="00371697"/>
    <w:rsid w:val="003716B0"/>
    <w:rsid w:val="003717C5"/>
    <w:rsid w:val="00372377"/>
    <w:rsid w:val="0037270F"/>
    <w:rsid w:val="003728F8"/>
    <w:rsid w:val="00372A01"/>
    <w:rsid w:val="00372ECB"/>
    <w:rsid w:val="0037328C"/>
    <w:rsid w:val="0037383E"/>
    <w:rsid w:val="00373B84"/>
    <w:rsid w:val="0037553E"/>
    <w:rsid w:val="003759C8"/>
    <w:rsid w:val="003759CB"/>
    <w:rsid w:val="00375C2E"/>
    <w:rsid w:val="003761CF"/>
    <w:rsid w:val="00376BCC"/>
    <w:rsid w:val="00376FE7"/>
    <w:rsid w:val="0038077C"/>
    <w:rsid w:val="00380929"/>
    <w:rsid w:val="00380B5D"/>
    <w:rsid w:val="00380F88"/>
    <w:rsid w:val="003816CA"/>
    <w:rsid w:val="00381927"/>
    <w:rsid w:val="00382ABC"/>
    <w:rsid w:val="00382CC3"/>
    <w:rsid w:val="00382E19"/>
    <w:rsid w:val="00383397"/>
    <w:rsid w:val="00384089"/>
    <w:rsid w:val="00384569"/>
    <w:rsid w:val="003847F5"/>
    <w:rsid w:val="00384981"/>
    <w:rsid w:val="00384FBB"/>
    <w:rsid w:val="003850FC"/>
    <w:rsid w:val="00385470"/>
    <w:rsid w:val="00385831"/>
    <w:rsid w:val="00386AAD"/>
    <w:rsid w:val="00386DCB"/>
    <w:rsid w:val="00390263"/>
    <w:rsid w:val="003902CC"/>
    <w:rsid w:val="00390335"/>
    <w:rsid w:val="0039073D"/>
    <w:rsid w:val="003907C6"/>
    <w:rsid w:val="00391BE9"/>
    <w:rsid w:val="00391D7E"/>
    <w:rsid w:val="0039223D"/>
    <w:rsid w:val="003925BF"/>
    <w:rsid w:val="003926C7"/>
    <w:rsid w:val="00392A89"/>
    <w:rsid w:val="003935E5"/>
    <w:rsid w:val="00393AAF"/>
    <w:rsid w:val="00394EF3"/>
    <w:rsid w:val="0039581D"/>
    <w:rsid w:val="00395A90"/>
    <w:rsid w:val="00395FA8"/>
    <w:rsid w:val="00396771"/>
    <w:rsid w:val="00396C53"/>
    <w:rsid w:val="00397308"/>
    <w:rsid w:val="0039734A"/>
    <w:rsid w:val="0039797D"/>
    <w:rsid w:val="00397D0F"/>
    <w:rsid w:val="003A039B"/>
    <w:rsid w:val="003A065D"/>
    <w:rsid w:val="003A17FD"/>
    <w:rsid w:val="003A25BC"/>
    <w:rsid w:val="003A2A25"/>
    <w:rsid w:val="003A2F43"/>
    <w:rsid w:val="003A38C0"/>
    <w:rsid w:val="003A3B5D"/>
    <w:rsid w:val="003A524F"/>
    <w:rsid w:val="003A5B8D"/>
    <w:rsid w:val="003A5C9B"/>
    <w:rsid w:val="003A5EB2"/>
    <w:rsid w:val="003A6025"/>
    <w:rsid w:val="003A60F4"/>
    <w:rsid w:val="003A6FCE"/>
    <w:rsid w:val="003A7661"/>
    <w:rsid w:val="003A7B11"/>
    <w:rsid w:val="003A7C89"/>
    <w:rsid w:val="003A7F56"/>
    <w:rsid w:val="003B09B4"/>
    <w:rsid w:val="003B0A2E"/>
    <w:rsid w:val="003B0AAD"/>
    <w:rsid w:val="003B1032"/>
    <w:rsid w:val="003B11D5"/>
    <w:rsid w:val="003B18F5"/>
    <w:rsid w:val="003B2602"/>
    <w:rsid w:val="003B295D"/>
    <w:rsid w:val="003B2A13"/>
    <w:rsid w:val="003B2C73"/>
    <w:rsid w:val="003B2FC7"/>
    <w:rsid w:val="003B3208"/>
    <w:rsid w:val="003B5F4D"/>
    <w:rsid w:val="003B6190"/>
    <w:rsid w:val="003B6517"/>
    <w:rsid w:val="003B65F9"/>
    <w:rsid w:val="003B794F"/>
    <w:rsid w:val="003B7D74"/>
    <w:rsid w:val="003C01A9"/>
    <w:rsid w:val="003C044C"/>
    <w:rsid w:val="003C0682"/>
    <w:rsid w:val="003C0810"/>
    <w:rsid w:val="003C1073"/>
    <w:rsid w:val="003C2F9C"/>
    <w:rsid w:val="003C318C"/>
    <w:rsid w:val="003C3210"/>
    <w:rsid w:val="003C33F2"/>
    <w:rsid w:val="003C3D39"/>
    <w:rsid w:val="003C43EF"/>
    <w:rsid w:val="003C4400"/>
    <w:rsid w:val="003C4B00"/>
    <w:rsid w:val="003C50A7"/>
    <w:rsid w:val="003C51EA"/>
    <w:rsid w:val="003C54A8"/>
    <w:rsid w:val="003C572C"/>
    <w:rsid w:val="003C57D5"/>
    <w:rsid w:val="003C5BDA"/>
    <w:rsid w:val="003C5F98"/>
    <w:rsid w:val="003C65E3"/>
    <w:rsid w:val="003C7603"/>
    <w:rsid w:val="003C7840"/>
    <w:rsid w:val="003C7E25"/>
    <w:rsid w:val="003C7FE9"/>
    <w:rsid w:val="003D00A9"/>
    <w:rsid w:val="003D0161"/>
    <w:rsid w:val="003D09B0"/>
    <w:rsid w:val="003D0D76"/>
    <w:rsid w:val="003D0E69"/>
    <w:rsid w:val="003D1197"/>
    <w:rsid w:val="003D137F"/>
    <w:rsid w:val="003D1F58"/>
    <w:rsid w:val="003D2776"/>
    <w:rsid w:val="003D2DC8"/>
    <w:rsid w:val="003D359A"/>
    <w:rsid w:val="003D3892"/>
    <w:rsid w:val="003D38EB"/>
    <w:rsid w:val="003D48BE"/>
    <w:rsid w:val="003D49B7"/>
    <w:rsid w:val="003D52CC"/>
    <w:rsid w:val="003D52EB"/>
    <w:rsid w:val="003D5D55"/>
    <w:rsid w:val="003D6562"/>
    <w:rsid w:val="003D6788"/>
    <w:rsid w:val="003D72DA"/>
    <w:rsid w:val="003D735D"/>
    <w:rsid w:val="003D77DD"/>
    <w:rsid w:val="003D7909"/>
    <w:rsid w:val="003D7DFA"/>
    <w:rsid w:val="003E06CB"/>
    <w:rsid w:val="003E0AA5"/>
    <w:rsid w:val="003E158C"/>
    <w:rsid w:val="003E178E"/>
    <w:rsid w:val="003E1BEA"/>
    <w:rsid w:val="003E1E52"/>
    <w:rsid w:val="003E1E69"/>
    <w:rsid w:val="003E2CF3"/>
    <w:rsid w:val="003E366C"/>
    <w:rsid w:val="003E36F5"/>
    <w:rsid w:val="003E37A4"/>
    <w:rsid w:val="003E45A6"/>
    <w:rsid w:val="003E4617"/>
    <w:rsid w:val="003E478F"/>
    <w:rsid w:val="003E479B"/>
    <w:rsid w:val="003E4AFE"/>
    <w:rsid w:val="003E5099"/>
    <w:rsid w:val="003E538A"/>
    <w:rsid w:val="003E57A7"/>
    <w:rsid w:val="003E7628"/>
    <w:rsid w:val="003E7EEA"/>
    <w:rsid w:val="003E7FAC"/>
    <w:rsid w:val="003F04DD"/>
    <w:rsid w:val="003F06EA"/>
    <w:rsid w:val="003F089E"/>
    <w:rsid w:val="003F0B76"/>
    <w:rsid w:val="003F15DA"/>
    <w:rsid w:val="003F1B14"/>
    <w:rsid w:val="003F1E1F"/>
    <w:rsid w:val="003F2F42"/>
    <w:rsid w:val="003F3288"/>
    <w:rsid w:val="003F3464"/>
    <w:rsid w:val="003F3720"/>
    <w:rsid w:val="003F38D4"/>
    <w:rsid w:val="003F449F"/>
    <w:rsid w:val="003F504D"/>
    <w:rsid w:val="003F5234"/>
    <w:rsid w:val="003F5643"/>
    <w:rsid w:val="003F5759"/>
    <w:rsid w:val="003F575F"/>
    <w:rsid w:val="003F596D"/>
    <w:rsid w:val="003F614E"/>
    <w:rsid w:val="003F646B"/>
    <w:rsid w:val="003F6770"/>
    <w:rsid w:val="003F6C74"/>
    <w:rsid w:val="003F6D2A"/>
    <w:rsid w:val="003F7CAE"/>
    <w:rsid w:val="003F7FCC"/>
    <w:rsid w:val="00400063"/>
    <w:rsid w:val="0040007E"/>
    <w:rsid w:val="004011A4"/>
    <w:rsid w:val="0040136F"/>
    <w:rsid w:val="0040152A"/>
    <w:rsid w:val="00401A19"/>
    <w:rsid w:val="00401DB4"/>
    <w:rsid w:val="00401E4C"/>
    <w:rsid w:val="004021A0"/>
    <w:rsid w:val="00402747"/>
    <w:rsid w:val="00402B22"/>
    <w:rsid w:val="00402D04"/>
    <w:rsid w:val="004037F5"/>
    <w:rsid w:val="00403E0C"/>
    <w:rsid w:val="004046DF"/>
    <w:rsid w:val="00405116"/>
    <w:rsid w:val="00405573"/>
    <w:rsid w:val="00405939"/>
    <w:rsid w:val="00405A5F"/>
    <w:rsid w:val="00406067"/>
    <w:rsid w:val="00406488"/>
    <w:rsid w:val="00406A11"/>
    <w:rsid w:val="00406A37"/>
    <w:rsid w:val="0040725A"/>
    <w:rsid w:val="00407EEB"/>
    <w:rsid w:val="004100B3"/>
    <w:rsid w:val="004100E3"/>
    <w:rsid w:val="00410411"/>
    <w:rsid w:val="00410AD8"/>
    <w:rsid w:val="0041102C"/>
    <w:rsid w:val="004118C5"/>
    <w:rsid w:val="00412410"/>
    <w:rsid w:val="0041241A"/>
    <w:rsid w:val="00412901"/>
    <w:rsid w:val="0041309D"/>
    <w:rsid w:val="0041317C"/>
    <w:rsid w:val="004135F0"/>
    <w:rsid w:val="0041364D"/>
    <w:rsid w:val="0041384F"/>
    <w:rsid w:val="00413D08"/>
    <w:rsid w:val="00413D98"/>
    <w:rsid w:val="00414409"/>
    <w:rsid w:val="00414A18"/>
    <w:rsid w:val="00414B0F"/>
    <w:rsid w:val="00414EA9"/>
    <w:rsid w:val="0041567E"/>
    <w:rsid w:val="004171AF"/>
    <w:rsid w:val="00417573"/>
    <w:rsid w:val="0041799C"/>
    <w:rsid w:val="00417B13"/>
    <w:rsid w:val="00417CAC"/>
    <w:rsid w:val="00417CDC"/>
    <w:rsid w:val="00417E49"/>
    <w:rsid w:val="0042015D"/>
    <w:rsid w:val="0042032D"/>
    <w:rsid w:val="00420441"/>
    <w:rsid w:val="004206B6"/>
    <w:rsid w:val="00421FE0"/>
    <w:rsid w:val="0042217C"/>
    <w:rsid w:val="00422916"/>
    <w:rsid w:val="004231FC"/>
    <w:rsid w:val="00423324"/>
    <w:rsid w:val="00423D41"/>
    <w:rsid w:val="00424088"/>
    <w:rsid w:val="0042450E"/>
    <w:rsid w:val="004246EE"/>
    <w:rsid w:val="004254EA"/>
    <w:rsid w:val="00425566"/>
    <w:rsid w:val="0042642D"/>
    <w:rsid w:val="00426F59"/>
    <w:rsid w:val="00430180"/>
    <w:rsid w:val="00430699"/>
    <w:rsid w:val="00430FD4"/>
    <w:rsid w:val="004314D7"/>
    <w:rsid w:val="00431EE9"/>
    <w:rsid w:val="00431F57"/>
    <w:rsid w:val="004320C7"/>
    <w:rsid w:val="00432DCC"/>
    <w:rsid w:val="00432FF9"/>
    <w:rsid w:val="00433222"/>
    <w:rsid w:val="00433C94"/>
    <w:rsid w:val="00433FFA"/>
    <w:rsid w:val="004351C1"/>
    <w:rsid w:val="00435352"/>
    <w:rsid w:val="004355F6"/>
    <w:rsid w:val="004357E7"/>
    <w:rsid w:val="004358AB"/>
    <w:rsid w:val="0043739A"/>
    <w:rsid w:val="00437974"/>
    <w:rsid w:val="00437A54"/>
    <w:rsid w:val="00437FCA"/>
    <w:rsid w:val="00440007"/>
    <w:rsid w:val="004409E9"/>
    <w:rsid w:val="0044137E"/>
    <w:rsid w:val="00441E79"/>
    <w:rsid w:val="00442146"/>
    <w:rsid w:val="0044216C"/>
    <w:rsid w:val="00442348"/>
    <w:rsid w:val="00442904"/>
    <w:rsid w:val="00442FA4"/>
    <w:rsid w:val="004439E0"/>
    <w:rsid w:val="00443CCC"/>
    <w:rsid w:val="00444627"/>
    <w:rsid w:val="00444D01"/>
    <w:rsid w:val="00444FC5"/>
    <w:rsid w:val="00445EB7"/>
    <w:rsid w:val="0044673F"/>
    <w:rsid w:val="004469CE"/>
    <w:rsid w:val="00446BCB"/>
    <w:rsid w:val="004471C9"/>
    <w:rsid w:val="00447202"/>
    <w:rsid w:val="00447AA2"/>
    <w:rsid w:val="00447B9A"/>
    <w:rsid w:val="00450A01"/>
    <w:rsid w:val="00450A5D"/>
    <w:rsid w:val="00450F38"/>
    <w:rsid w:val="0045159B"/>
    <w:rsid w:val="00451AFD"/>
    <w:rsid w:val="00451E14"/>
    <w:rsid w:val="00451E91"/>
    <w:rsid w:val="004521BC"/>
    <w:rsid w:val="004524B0"/>
    <w:rsid w:val="0045263C"/>
    <w:rsid w:val="00452B53"/>
    <w:rsid w:val="004533ED"/>
    <w:rsid w:val="00453450"/>
    <w:rsid w:val="00453918"/>
    <w:rsid w:val="00453AE0"/>
    <w:rsid w:val="00453C7C"/>
    <w:rsid w:val="00453D1D"/>
    <w:rsid w:val="00453F15"/>
    <w:rsid w:val="004547C8"/>
    <w:rsid w:val="00454D79"/>
    <w:rsid w:val="004552B7"/>
    <w:rsid w:val="004552F2"/>
    <w:rsid w:val="00455616"/>
    <w:rsid w:val="00455681"/>
    <w:rsid w:val="00455AB1"/>
    <w:rsid w:val="00455B55"/>
    <w:rsid w:val="00455FFC"/>
    <w:rsid w:val="0045603B"/>
    <w:rsid w:val="0045614D"/>
    <w:rsid w:val="00456AFA"/>
    <w:rsid w:val="004570B8"/>
    <w:rsid w:val="004573FE"/>
    <w:rsid w:val="004574C8"/>
    <w:rsid w:val="004577B3"/>
    <w:rsid w:val="004577F5"/>
    <w:rsid w:val="00457F5F"/>
    <w:rsid w:val="00460474"/>
    <w:rsid w:val="00460596"/>
    <w:rsid w:val="00460B1B"/>
    <w:rsid w:val="004612F6"/>
    <w:rsid w:val="00461513"/>
    <w:rsid w:val="00461810"/>
    <w:rsid w:val="00461ED1"/>
    <w:rsid w:val="00462436"/>
    <w:rsid w:val="00462A00"/>
    <w:rsid w:val="00462D28"/>
    <w:rsid w:val="00462F1E"/>
    <w:rsid w:val="00462FE3"/>
    <w:rsid w:val="00463731"/>
    <w:rsid w:val="004637CE"/>
    <w:rsid w:val="004638BB"/>
    <w:rsid w:val="00463EDA"/>
    <w:rsid w:val="004647E7"/>
    <w:rsid w:val="00464DD6"/>
    <w:rsid w:val="00464F46"/>
    <w:rsid w:val="004655BD"/>
    <w:rsid w:val="0046664C"/>
    <w:rsid w:val="00466CD2"/>
    <w:rsid w:val="00466ED0"/>
    <w:rsid w:val="00467111"/>
    <w:rsid w:val="004674B2"/>
    <w:rsid w:val="0046765B"/>
    <w:rsid w:val="00467BA4"/>
    <w:rsid w:val="00470642"/>
    <w:rsid w:val="00470D85"/>
    <w:rsid w:val="00471324"/>
    <w:rsid w:val="004716F8"/>
    <w:rsid w:val="00471785"/>
    <w:rsid w:val="004719B2"/>
    <w:rsid w:val="004728F4"/>
    <w:rsid w:val="00473B6F"/>
    <w:rsid w:val="0047450D"/>
    <w:rsid w:val="00474E09"/>
    <w:rsid w:val="00475312"/>
    <w:rsid w:val="004755AC"/>
    <w:rsid w:val="004755AF"/>
    <w:rsid w:val="00475B3F"/>
    <w:rsid w:val="00477344"/>
    <w:rsid w:val="004800FD"/>
    <w:rsid w:val="004804E5"/>
    <w:rsid w:val="004810DD"/>
    <w:rsid w:val="00481199"/>
    <w:rsid w:val="00481592"/>
    <w:rsid w:val="0048193A"/>
    <w:rsid w:val="004825EF"/>
    <w:rsid w:val="00482E00"/>
    <w:rsid w:val="0048306D"/>
    <w:rsid w:val="004834FB"/>
    <w:rsid w:val="00483F14"/>
    <w:rsid w:val="00484290"/>
    <w:rsid w:val="004842FE"/>
    <w:rsid w:val="00484BB1"/>
    <w:rsid w:val="00485517"/>
    <w:rsid w:val="004858C8"/>
    <w:rsid w:val="00485BB4"/>
    <w:rsid w:val="00485FA8"/>
    <w:rsid w:val="00487316"/>
    <w:rsid w:val="00487854"/>
    <w:rsid w:val="004902E4"/>
    <w:rsid w:val="00492531"/>
    <w:rsid w:val="004926F8"/>
    <w:rsid w:val="0049280B"/>
    <w:rsid w:val="00493037"/>
    <w:rsid w:val="004931AC"/>
    <w:rsid w:val="00493ABF"/>
    <w:rsid w:val="00494A89"/>
    <w:rsid w:val="00494B77"/>
    <w:rsid w:val="00494F20"/>
    <w:rsid w:val="004955A9"/>
    <w:rsid w:val="004956D3"/>
    <w:rsid w:val="00495AFA"/>
    <w:rsid w:val="00495BA6"/>
    <w:rsid w:val="004961F9"/>
    <w:rsid w:val="004962F9"/>
    <w:rsid w:val="0049652A"/>
    <w:rsid w:val="00497713"/>
    <w:rsid w:val="004979B5"/>
    <w:rsid w:val="004A117C"/>
    <w:rsid w:val="004A1E2F"/>
    <w:rsid w:val="004A2258"/>
    <w:rsid w:val="004A2356"/>
    <w:rsid w:val="004A39AE"/>
    <w:rsid w:val="004A3B54"/>
    <w:rsid w:val="004A3F46"/>
    <w:rsid w:val="004A439C"/>
    <w:rsid w:val="004A4DAC"/>
    <w:rsid w:val="004A58F8"/>
    <w:rsid w:val="004A59FF"/>
    <w:rsid w:val="004A634F"/>
    <w:rsid w:val="004A68E0"/>
    <w:rsid w:val="004A6E43"/>
    <w:rsid w:val="004A70C8"/>
    <w:rsid w:val="004A70E1"/>
    <w:rsid w:val="004A7DE4"/>
    <w:rsid w:val="004B0006"/>
    <w:rsid w:val="004B0346"/>
    <w:rsid w:val="004B043D"/>
    <w:rsid w:val="004B0818"/>
    <w:rsid w:val="004B0B68"/>
    <w:rsid w:val="004B13F0"/>
    <w:rsid w:val="004B1941"/>
    <w:rsid w:val="004B1A79"/>
    <w:rsid w:val="004B1A8D"/>
    <w:rsid w:val="004B1B6B"/>
    <w:rsid w:val="004B1E29"/>
    <w:rsid w:val="004B2215"/>
    <w:rsid w:val="004B2292"/>
    <w:rsid w:val="004B286B"/>
    <w:rsid w:val="004B2F60"/>
    <w:rsid w:val="004B3195"/>
    <w:rsid w:val="004B38B7"/>
    <w:rsid w:val="004B3CF6"/>
    <w:rsid w:val="004B3F9F"/>
    <w:rsid w:val="004B4315"/>
    <w:rsid w:val="004B47F3"/>
    <w:rsid w:val="004B4F8B"/>
    <w:rsid w:val="004B5F7F"/>
    <w:rsid w:val="004B6018"/>
    <w:rsid w:val="004B7007"/>
    <w:rsid w:val="004B736D"/>
    <w:rsid w:val="004B738B"/>
    <w:rsid w:val="004B7557"/>
    <w:rsid w:val="004C0037"/>
    <w:rsid w:val="004C0368"/>
    <w:rsid w:val="004C03C2"/>
    <w:rsid w:val="004C06E6"/>
    <w:rsid w:val="004C0919"/>
    <w:rsid w:val="004C0C05"/>
    <w:rsid w:val="004C1242"/>
    <w:rsid w:val="004C175A"/>
    <w:rsid w:val="004C1C89"/>
    <w:rsid w:val="004C211D"/>
    <w:rsid w:val="004C227B"/>
    <w:rsid w:val="004C2297"/>
    <w:rsid w:val="004C2BD5"/>
    <w:rsid w:val="004C2CC4"/>
    <w:rsid w:val="004C31B8"/>
    <w:rsid w:val="004C3E1C"/>
    <w:rsid w:val="004C48B8"/>
    <w:rsid w:val="004C4A7D"/>
    <w:rsid w:val="004C5391"/>
    <w:rsid w:val="004C53D6"/>
    <w:rsid w:val="004C58A3"/>
    <w:rsid w:val="004C62F0"/>
    <w:rsid w:val="004C6CC2"/>
    <w:rsid w:val="004C7A8B"/>
    <w:rsid w:val="004D0ECA"/>
    <w:rsid w:val="004D10F3"/>
    <w:rsid w:val="004D169A"/>
    <w:rsid w:val="004D181F"/>
    <w:rsid w:val="004D1F2D"/>
    <w:rsid w:val="004D2430"/>
    <w:rsid w:val="004D2654"/>
    <w:rsid w:val="004D29B0"/>
    <w:rsid w:val="004D3588"/>
    <w:rsid w:val="004D393D"/>
    <w:rsid w:val="004D3F72"/>
    <w:rsid w:val="004D4D91"/>
    <w:rsid w:val="004D5155"/>
    <w:rsid w:val="004D5792"/>
    <w:rsid w:val="004D5795"/>
    <w:rsid w:val="004D5C56"/>
    <w:rsid w:val="004D72D8"/>
    <w:rsid w:val="004D7375"/>
    <w:rsid w:val="004D73F5"/>
    <w:rsid w:val="004D7D68"/>
    <w:rsid w:val="004E0F98"/>
    <w:rsid w:val="004E0FAD"/>
    <w:rsid w:val="004E1894"/>
    <w:rsid w:val="004E2803"/>
    <w:rsid w:val="004E3A77"/>
    <w:rsid w:val="004E45E5"/>
    <w:rsid w:val="004E4995"/>
    <w:rsid w:val="004E6EC3"/>
    <w:rsid w:val="004E6EDA"/>
    <w:rsid w:val="004E6EFA"/>
    <w:rsid w:val="004E6FC7"/>
    <w:rsid w:val="004F091F"/>
    <w:rsid w:val="004F0EC2"/>
    <w:rsid w:val="004F1711"/>
    <w:rsid w:val="004F19DB"/>
    <w:rsid w:val="004F1BF4"/>
    <w:rsid w:val="004F1CAF"/>
    <w:rsid w:val="004F1E4D"/>
    <w:rsid w:val="004F20DE"/>
    <w:rsid w:val="004F225F"/>
    <w:rsid w:val="004F3207"/>
    <w:rsid w:val="004F3CD8"/>
    <w:rsid w:val="004F4792"/>
    <w:rsid w:val="004F4B8D"/>
    <w:rsid w:val="004F5350"/>
    <w:rsid w:val="004F58A7"/>
    <w:rsid w:val="004F58FD"/>
    <w:rsid w:val="004F5FA3"/>
    <w:rsid w:val="004F655C"/>
    <w:rsid w:val="004F69F6"/>
    <w:rsid w:val="004F6A5A"/>
    <w:rsid w:val="004F6C77"/>
    <w:rsid w:val="004F74E2"/>
    <w:rsid w:val="004F7661"/>
    <w:rsid w:val="004F799B"/>
    <w:rsid w:val="004F7D58"/>
    <w:rsid w:val="004F7ECA"/>
    <w:rsid w:val="00500012"/>
    <w:rsid w:val="00500534"/>
    <w:rsid w:val="00500757"/>
    <w:rsid w:val="005017E0"/>
    <w:rsid w:val="00501EF7"/>
    <w:rsid w:val="005026A9"/>
    <w:rsid w:val="0050285A"/>
    <w:rsid w:val="005028D7"/>
    <w:rsid w:val="00502B0D"/>
    <w:rsid w:val="00502D7E"/>
    <w:rsid w:val="0050301B"/>
    <w:rsid w:val="005030FF"/>
    <w:rsid w:val="00503CC4"/>
    <w:rsid w:val="00503FA3"/>
    <w:rsid w:val="00504A90"/>
    <w:rsid w:val="00504BB2"/>
    <w:rsid w:val="00505329"/>
    <w:rsid w:val="005054EC"/>
    <w:rsid w:val="005058AB"/>
    <w:rsid w:val="0050595C"/>
    <w:rsid w:val="00506421"/>
    <w:rsid w:val="0050647F"/>
    <w:rsid w:val="00506BB1"/>
    <w:rsid w:val="00506E65"/>
    <w:rsid w:val="00507538"/>
    <w:rsid w:val="00507D27"/>
    <w:rsid w:val="00510170"/>
    <w:rsid w:val="00510837"/>
    <w:rsid w:val="005108A3"/>
    <w:rsid w:val="005112C4"/>
    <w:rsid w:val="005112FA"/>
    <w:rsid w:val="00511533"/>
    <w:rsid w:val="00511611"/>
    <w:rsid w:val="005118E2"/>
    <w:rsid w:val="00511A41"/>
    <w:rsid w:val="00511B22"/>
    <w:rsid w:val="0051238A"/>
    <w:rsid w:val="00512F18"/>
    <w:rsid w:val="005131A6"/>
    <w:rsid w:val="00513BFB"/>
    <w:rsid w:val="00513DEB"/>
    <w:rsid w:val="00514389"/>
    <w:rsid w:val="00514624"/>
    <w:rsid w:val="005147D3"/>
    <w:rsid w:val="00515389"/>
    <w:rsid w:val="0051571D"/>
    <w:rsid w:val="00515C12"/>
    <w:rsid w:val="00516C40"/>
    <w:rsid w:val="00517058"/>
    <w:rsid w:val="0051782D"/>
    <w:rsid w:val="0051796D"/>
    <w:rsid w:val="00517CB0"/>
    <w:rsid w:val="0052055D"/>
    <w:rsid w:val="005208CE"/>
    <w:rsid w:val="005209A0"/>
    <w:rsid w:val="005209E4"/>
    <w:rsid w:val="00520A72"/>
    <w:rsid w:val="00521085"/>
    <w:rsid w:val="005211E0"/>
    <w:rsid w:val="00521EB8"/>
    <w:rsid w:val="00522060"/>
    <w:rsid w:val="00522552"/>
    <w:rsid w:val="005227AF"/>
    <w:rsid w:val="00522F9F"/>
    <w:rsid w:val="005233A3"/>
    <w:rsid w:val="00523CCF"/>
    <w:rsid w:val="00523FC5"/>
    <w:rsid w:val="005250D8"/>
    <w:rsid w:val="00525119"/>
    <w:rsid w:val="00525169"/>
    <w:rsid w:val="00525883"/>
    <w:rsid w:val="00526074"/>
    <w:rsid w:val="00526207"/>
    <w:rsid w:val="00526D12"/>
    <w:rsid w:val="00526E73"/>
    <w:rsid w:val="005274E8"/>
    <w:rsid w:val="005305D8"/>
    <w:rsid w:val="00530EBE"/>
    <w:rsid w:val="00531145"/>
    <w:rsid w:val="005319CB"/>
    <w:rsid w:val="00531BF5"/>
    <w:rsid w:val="00531D55"/>
    <w:rsid w:val="00531ECA"/>
    <w:rsid w:val="00532327"/>
    <w:rsid w:val="00532399"/>
    <w:rsid w:val="00532693"/>
    <w:rsid w:val="00532A71"/>
    <w:rsid w:val="00532C8F"/>
    <w:rsid w:val="00533636"/>
    <w:rsid w:val="00533F01"/>
    <w:rsid w:val="00534320"/>
    <w:rsid w:val="00534350"/>
    <w:rsid w:val="005349B6"/>
    <w:rsid w:val="00534B6C"/>
    <w:rsid w:val="00534BB3"/>
    <w:rsid w:val="00534C3C"/>
    <w:rsid w:val="00534FD4"/>
    <w:rsid w:val="0053550D"/>
    <w:rsid w:val="005355D8"/>
    <w:rsid w:val="00535A35"/>
    <w:rsid w:val="00536053"/>
    <w:rsid w:val="0053629D"/>
    <w:rsid w:val="00536312"/>
    <w:rsid w:val="00536426"/>
    <w:rsid w:val="00536540"/>
    <w:rsid w:val="00536ECB"/>
    <w:rsid w:val="00536F5C"/>
    <w:rsid w:val="00537942"/>
    <w:rsid w:val="00537D7A"/>
    <w:rsid w:val="00537DA6"/>
    <w:rsid w:val="005400E5"/>
    <w:rsid w:val="0054047E"/>
    <w:rsid w:val="00540C47"/>
    <w:rsid w:val="00540E6D"/>
    <w:rsid w:val="00540FA7"/>
    <w:rsid w:val="005412C6"/>
    <w:rsid w:val="00541C82"/>
    <w:rsid w:val="00542237"/>
    <w:rsid w:val="0054266C"/>
    <w:rsid w:val="00542C34"/>
    <w:rsid w:val="00543379"/>
    <w:rsid w:val="00543999"/>
    <w:rsid w:val="00544220"/>
    <w:rsid w:val="005444E2"/>
    <w:rsid w:val="00544FD6"/>
    <w:rsid w:val="005452CB"/>
    <w:rsid w:val="005453EB"/>
    <w:rsid w:val="00545664"/>
    <w:rsid w:val="00545F4D"/>
    <w:rsid w:val="005460C4"/>
    <w:rsid w:val="00546A24"/>
    <w:rsid w:val="00546BA7"/>
    <w:rsid w:val="00546C54"/>
    <w:rsid w:val="00550026"/>
    <w:rsid w:val="005501FD"/>
    <w:rsid w:val="005503D0"/>
    <w:rsid w:val="0055147D"/>
    <w:rsid w:val="00551B53"/>
    <w:rsid w:val="0055215E"/>
    <w:rsid w:val="0055294B"/>
    <w:rsid w:val="00553091"/>
    <w:rsid w:val="005530B4"/>
    <w:rsid w:val="00553543"/>
    <w:rsid w:val="0055404F"/>
    <w:rsid w:val="00554B79"/>
    <w:rsid w:val="00554D8C"/>
    <w:rsid w:val="00555A8B"/>
    <w:rsid w:val="00555AA2"/>
    <w:rsid w:val="00556410"/>
    <w:rsid w:val="00556628"/>
    <w:rsid w:val="0055687E"/>
    <w:rsid w:val="005569A7"/>
    <w:rsid w:val="0055734A"/>
    <w:rsid w:val="005575FF"/>
    <w:rsid w:val="00560AB0"/>
    <w:rsid w:val="00560CCD"/>
    <w:rsid w:val="005610AC"/>
    <w:rsid w:val="00561751"/>
    <w:rsid w:val="00561908"/>
    <w:rsid w:val="0056199A"/>
    <w:rsid w:val="00561C17"/>
    <w:rsid w:val="00562168"/>
    <w:rsid w:val="00562238"/>
    <w:rsid w:val="00562293"/>
    <w:rsid w:val="00562A2C"/>
    <w:rsid w:val="00562B61"/>
    <w:rsid w:val="0056352D"/>
    <w:rsid w:val="005637DB"/>
    <w:rsid w:val="00564092"/>
    <w:rsid w:val="00564167"/>
    <w:rsid w:val="00564B0F"/>
    <w:rsid w:val="00564B2F"/>
    <w:rsid w:val="005650C1"/>
    <w:rsid w:val="005650DF"/>
    <w:rsid w:val="00565AD2"/>
    <w:rsid w:val="00565EF0"/>
    <w:rsid w:val="005665E1"/>
    <w:rsid w:val="00566AA0"/>
    <w:rsid w:val="005675F3"/>
    <w:rsid w:val="00567A11"/>
    <w:rsid w:val="00567ABD"/>
    <w:rsid w:val="00567AF6"/>
    <w:rsid w:val="005703FF"/>
    <w:rsid w:val="005707CC"/>
    <w:rsid w:val="00571AF4"/>
    <w:rsid w:val="005723E2"/>
    <w:rsid w:val="0057262C"/>
    <w:rsid w:val="00573666"/>
    <w:rsid w:val="00573701"/>
    <w:rsid w:val="0057488B"/>
    <w:rsid w:val="00574C2F"/>
    <w:rsid w:val="00574D38"/>
    <w:rsid w:val="005753D5"/>
    <w:rsid w:val="005755B2"/>
    <w:rsid w:val="0057560A"/>
    <w:rsid w:val="00575E54"/>
    <w:rsid w:val="0057781F"/>
    <w:rsid w:val="00580A9F"/>
    <w:rsid w:val="0058122D"/>
    <w:rsid w:val="00581318"/>
    <w:rsid w:val="005816DB"/>
    <w:rsid w:val="00581D89"/>
    <w:rsid w:val="00582D38"/>
    <w:rsid w:val="00583053"/>
    <w:rsid w:val="00583428"/>
    <w:rsid w:val="00583479"/>
    <w:rsid w:val="00583E41"/>
    <w:rsid w:val="00584567"/>
    <w:rsid w:val="0058482F"/>
    <w:rsid w:val="0058495C"/>
    <w:rsid w:val="00584B0A"/>
    <w:rsid w:val="00585C0E"/>
    <w:rsid w:val="00586070"/>
    <w:rsid w:val="005866CE"/>
    <w:rsid w:val="00587381"/>
    <w:rsid w:val="00587542"/>
    <w:rsid w:val="005877AE"/>
    <w:rsid w:val="00587E34"/>
    <w:rsid w:val="00590872"/>
    <w:rsid w:val="00590BBD"/>
    <w:rsid w:val="00590BEF"/>
    <w:rsid w:val="00590F39"/>
    <w:rsid w:val="0059177F"/>
    <w:rsid w:val="00591E65"/>
    <w:rsid w:val="005925EC"/>
    <w:rsid w:val="00593180"/>
    <w:rsid w:val="00593BD8"/>
    <w:rsid w:val="00593D63"/>
    <w:rsid w:val="0059430E"/>
    <w:rsid w:val="005947E5"/>
    <w:rsid w:val="0059485A"/>
    <w:rsid w:val="005954D4"/>
    <w:rsid w:val="0059577D"/>
    <w:rsid w:val="00595B0E"/>
    <w:rsid w:val="00595CB7"/>
    <w:rsid w:val="005968E8"/>
    <w:rsid w:val="005971EB"/>
    <w:rsid w:val="005A020C"/>
    <w:rsid w:val="005A12C8"/>
    <w:rsid w:val="005A1601"/>
    <w:rsid w:val="005A186E"/>
    <w:rsid w:val="005A18E9"/>
    <w:rsid w:val="005A1EA3"/>
    <w:rsid w:val="005A2380"/>
    <w:rsid w:val="005A23C3"/>
    <w:rsid w:val="005A274B"/>
    <w:rsid w:val="005A2D09"/>
    <w:rsid w:val="005A3273"/>
    <w:rsid w:val="005A33CB"/>
    <w:rsid w:val="005A3479"/>
    <w:rsid w:val="005A40FA"/>
    <w:rsid w:val="005A42C8"/>
    <w:rsid w:val="005A4594"/>
    <w:rsid w:val="005A5521"/>
    <w:rsid w:val="005A5CA3"/>
    <w:rsid w:val="005A6676"/>
    <w:rsid w:val="005A66FA"/>
    <w:rsid w:val="005A781E"/>
    <w:rsid w:val="005A78C4"/>
    <w:rsid w:val="005A7BF5"/>
    <w:rsid w:val="005B0026"/>
    <w:rsid w:val="005B1642"/>
    <w:rsid w:val="005B1C92"/>
    <w:rsid w:val="005B1FDD"/>
    <w:rsid w:val="005B209E"/>
    <w:rsid w:val="005B24F4"/>
    <w:rsid w:val="005B2772"/>
    <w:rsid w:val="005B2824"/>
    <w:rsid w:val="005B2B85"/>
    <w:rsid w:val="005B2D01"/>
    <w:rsid w:val="005B30B9"/>
    <w:rsid w:val="005B340B"/>
    <w:rsid w:val="005B3600"/>
    <w:rsid w:val="005B392C"/>
    <w:rsid w:val="005B3A24"/>
    <w:rsid w:val="005B3EB0"/>
    <w:rsid w:val="005B453B"/>
    <w:rsid w:val="005B54D9"/>
    <w:rsid w:val="005B5B0A"/>
    <w:rsid w:val="005B61D8"/>
    <w:rsid w:val="005B65E1"/>
    <w:rsid w:val="005B69F1"/>
    <w:rsid w:val="005B6D3F"/>
    <w:rsid w:val="005B6DF4"/>
    <w:rsid w:val="005C02D1"/>
    <w:rsid w:val="005C0571"/>
    <w:rsid w:val="005C07D4"/>
    <w:rsid w:val="005C1D1A"/>
    <w:rsid w:val="005C2521"/>
    <w:rsid w:val="005C30E1"/>
    <w:rsid w:val="005C32FB"/>
    <w:rsid w:val="005C35A3"/>
    <w:rsid w:val="005C38EF"/>
    <w:rsid w:val="005C3A86"/>
    <w:rsid w:val="005C4834"/>
    <w:rsid w:val="005C6027"/>
    <w:rsid w:val="005C61AA"/>
    <w:rsid w:val="005C6432"/>
    <w:rsid w:val="005C64A1"/>
    <w:rsid w:val="005C6663"/>
    <w:rsid w:val="005C69FF"/>
    <w:rsid w:val="005C6A89"/>
    <w:rsid w:val="005C6D20"/>
    <w:rsid w:val="005D00E0"/>
    <w:rsid w:val="005D0350"/>
    <w:rsid w:val="005D16AE"/>
    <w:rsid w:val="005D1F49"/>
    <w:rsid w:val="005D21D2"/>
    <w:rsid w:val="005D21EA"/>
    <w:rsid w:val="005D22DC"/>
    <w:rsid w:val="005D27CA"/>
    <w:rsid w:val="005D3386"/>
    <w:rsid w:val="005D33A6"/>
    <w:rsid w:val="005D3891"/>
    <w:rsid w:val="005D3DF0"/>
    <w:rsid w:val="005D46EE"/>
    <w:rsid w:val="005D4723"/>
    <w:rsid w:val="005D4BB5"/>
    <w:rsid w:val="005D4DDC"/>
    <w:rsid w:val="005D5078"/>
    <w:rsid w:val="005D5928"/>
    <w:rsid w:val="005D5C6B"/>
    <w:rsid w:val="005D5D10"/>
    <w:rsid w:val="005D630B"/>
    <w:rsid w:val="005D6663"/>
    <w:rsid w:val="005D6C7C"/>
    <w:rsid w:val="005D7369"/>
    <w:rsid w:val="005D7A88"/>
    <w:rsid w:val="005D7D5E"/>
    <w:rsid w:val="005D7F7F"/>
    <w:rsid w:val="005D7FD4"/>
    <w:rsid w:val="005E0675"/>
    <w:rsid w:val="005E08B6"/>
    <w:rsid w:val="005E0B4A"/>
    <w:rsid w:val="005E1030"/>
    <w:rsid w:val="005E149E"/>
    <w:rsid w:val="005E1BA2"/>
    <w:rsid w:val="005E2EE1"/>
    <w:rsid w:val="005E38CE"/>
    <w:rsid w:val="005E3C3D"/>
    <w:rsid w:val="005E3EB6"/>
    <w:rsid w:val="005E3F85"/>
    <w:rsid w:val="005E48DE"/>
    <w:rsid w:val="005E4B96"/>
    <w:rsid w:val="005E5267"/>
    <w:rsid w:val="005E591A"/>
    <w:rsid w:val="005E59BD"/>
    <w:rsid w:val="005E5B63"/>
    <w:rsid w:val="005E6ACD"/>
    <w:rsid w:val="005E6B61"/>
    <w:rsid w:val="005E737C"/>
    <w:rsid w:val="005E7D68"/>
    <w:rsid w:val="005F0622"/>
    <w:rsid w:val="005F0756"/>
    <w:rsid w:val="005F1183"/>
    <w:rsid w:val="005F1FB4"/>
    <w:rsid w:val="005F2932"/>
    <w:rsid w:val="005F2FDB"/>
    <w:rsid w:val="005F336A"/>
    <w:rsid w:val="005F3697"/>
    <w:rsid w:val="005F3925"/>
    <w:rsid w:val="005F4589"/>
    <w:rsid w:val="005F4627"/>
    <w:rsid w:val="005F5B90"/>
    <w:rsid w:val="005F5F54"/>
    <w:rsid w:val="005F6796"/>
    <w:rsid w:val="005F67C5"/>
    <w:rsid w:val="005F6E86"/>
    <w:rsid w:val="005F7283"/>
    <w:rsid w:val="005F7838"/>
    <w:rsid w:val="005F7EB2"/>
    <w:rsid w:val="0060024D"/>
    <w:rsid w:val="0060035A"/>
    <w:rsid w:val="00600736"/>
    <w:rsid w:val="0060090C"/>
    <w:rsid w:val="00600A43"/>
    <w:rsid w:val="00600C28"/>
    <w:rsid w:val="006016C3"/>
    <w:rsid w:val="006019EA"/>
    <w:rsid w:val="00602033"/>
    <w:rsid w:val="0060245B"/>
    <w:rsid w:val="0060247C"/>
    <w:rsid w:val="006030DE"/>
    <w:rsid w:val="006032BB"/>
    <w:rsid w:val="0060336F"/>
    <w:rsid w:val="00604D37"/>
    <w:rsid w:val="00604EE1"/>
    <w:rsid w:val="00605029"/>
    <w:rsid w:val="0060552A"/>
    <w:rsid w:val="0060563A"/>
    <w:rsid w:val="00605922"/>
    <w:rsid w:val="00605BD6"/>
    <w:rsid w:val="00605C5A"/>
    <w:rsid w:val="00605D90"/>
    <w:rsid w:val="00605E08"/>
    <w:rsid w:val="00606430"/>
    <w:rsid w:val="00606AD5"/>
    <w:rsid w:val="00606CEC"/>
    <w:rsid w:val="00607078"/>
    <w:rsid w:val="00607127"/>
    <w:rsid w:val="00607502"/>
    <w:rsid w:val="00610839"/>
    <w:rsid w:val="006108B7"/>
    <w:rsid w:val="00611633"/>
    <w:rsid w:val="00611743"/>
    <w:rsid w:val="00611F98"/>
    <w:rsid w:val="00612E6B"/>
    <w:rsid w:val="00613212"/>
    <w:rsid w:val="00613525"/>
    <w:rsid w:val="00613BD4"/>
    <w:rsid w:val="006140DD"/>
    <w:rsid w:val="00614E5A"/>
    <w:rsid w:val="00615993"/>
    <w:rsid w:val="00615F6F"/>
    <w:rsid w:val="00616914"/>
    <w:rsid w:val="00616BD8"/>
    <w:rsid w:val="00616BE2"/>
    <w:rsid w:val="00617043"/>
    <w:rsid w:val="006172E4"/>
    <w:rsid w:val="006173F5"/>
    <w:rsid w:val="00617402"/>
    <w:rsid w:val="006175B1"/>
    <w:rsid w:val="00617F60"/>
    <w:rsid w:val="00620348"/>
    <w:rsid w:val="00620BB1"/>
    <w:rsid w:val="00620EE7"/>
    <w:rsid w:val="00621256"/>
    <w:rsid w:val="00621299"/>
    <w:rsid w:val="0062136F"/>
    <w:rsid w:val="00622D89"/>
    <w:rsid w:val="00623ED7"/>
    <w:rsid w:val="006244D0"/>
    <w:rsid w:val="00624FEC"/>
    <w:rsid w:val="00625044"/>
    <w:rsid w:val="00626013"/>
    <w:rsid w:val="006262AF"/>
    <w:rsid w:val="006274CD"/>
    <w:rsid w:val="00627542"/>
    <w:rsid w:val="00627695"/>
    <w:rsid w:val="0062788F"/>
    <w:rsid w:val="00627D51"/>
    <w:rsid w:val="006301BC"/>
    <w:rsid w:val="00630DA8"/>
    <w:rsid w:val="00630E28"/>
    <w:rsid w:val="00630ED4"/>
    <w:rsid w:val="006319F9"/>
    <w:rsid w:val="00631ADD"/>
    <w:rsid w:val="00631B31"/>
    <w:rsid w:val="00632065"/>
    <w:rsid w:val="006321F8"/>
    <w:rsid w:val="00632A22"/>
    <w:rsid w:val="00632B72"/>
    <w:rsid w:val="0063309E"/>
    <w:rsid w:val="00633397"/>
    <w:rsid w:val="00633779"/>
    <w:rsid w:val="00633780"/>
    <w:rsid w:val="00634659"/>
    <w:rsid w:val="006358A3"/>
    <w:rsid w:val="00635A76"/>
    <w:rsid w:val="006369AC"/>
    <w:rsid w:val="00637FCE"/>
    <w:rsid w:val="00641BFB"/>
    <w:rsid w:val="006425BE"/>
    <w:rsid w:val="0064360E"/>
    <w:rsid w:val="00643690"/>
    <w:rsid w:val="00643710"/>
    <w:rsid w:val="00643CB6"/>
    <w:rsid w:val="00644ABB"/>
    <w:rsid w:val="00644F4D"/>
    <w:rsid w:val="0064534C"/>
    <w:rsid w:val="00645541"/>
    <w:rsid w:val="00645B9B"/>
    <w:rsid w:val="00645ED8"/>
    <w:rsid w:val="006461B4"/>
    <w:rsid w:val="006466A2"/>
    <w:rsid w:val="00646FE9"/>
    <w:rsid w:val="00647582"/>
    <w:rsid w:val="00647831"/>
    <w:rsid w:val="00647AEF"/>
    <w:rsid w:val="00647CD5"/>
    <w:rsid w:val="006507AC"/>
    <w:rsid w:val="00650AF2"/>
    <w:rsid w:val="00650B68"/>
    <w:rsid w:val="00650E70"/>
    <w:rsid w:val="0065110A"/>
    <w:rsid w:val="00651420"/>
    <w:rsid w:val="006514E7"/>
    <w:rsid w:val="006526EB"/>
    <w:rsid w:val="00653062"/>
    <w:rsid w:val="00653226"/>
    <w:rsid w:val="00653379"/>
    <w:rsid w:val="00653522"/>
    <w:rsid w:val="006535BB"/>
    <w:rsid w:val="0065420A"/>
    <w:rsid w:val="006543C9"/>
    <w:rsid w:val="0065457B"/>
    <w:rsid w:val="00654EDA"/>
    <w:rsid w:val="0065523E"/>
    <w:rsid w:val="00655F2D"/>
    <w:rsid w:val="00656BC4"/>
    <w:rsid w:val="00656DE4"/>
    <w:rsid w:val="00656F69"/>
    <w:rsid w:val="00657688"/>
    <w:rsid w:val="00657CF6"/>
    <w:rsid w:val="0066068A"/>
    <w:rsid w:val="006606EE"/>
    <w:rsid w:val="00661050"/>
    <w:rsid w:val="00661380"/>
    <w:rsid w:val="006616A0"/>
    <w:rsid w:val="00661962"/>
    <w:rsid w:val="006623B9"/>
    <w:rsid w:val="00662583"/>
    <w:rsid w:val="00662E1F"/>
    <w:rsid w:val="00662F25"/>
    <w:rsid w:val="006631A4"/>
    <w:rsid w:val="006632FC"/>
    <w:rsid w:val="00663D7D"/>
    <w:rsid w:val="00664256"/>
    <w:rsid w:val="00664FF1"/>
    <w:rsid w:val="006653A7"/>
    <w:rsid w:val="00665ABC"/>
    <w:rsid w:val="00665F23"/>
    <w:rsid w:val="00666048"/>
    <w:rsid w:val="006662F1"/>
    <w:rsid w:val="0066675E"/>
    <w:rsid w:val="00666A10"/>
    <w:rsid w:val="00666B6A"/>
    <w:rsid w:val="00666B8F"/>
    <w:rsid w:val="006674CB"/>
    <w:rsid w:val="00670273"/>
    <w:rsid w:val="0067069D"/>
    <w:rsid w:val="0067069E"/>
    <w:rsid w:val="00670B56"/>
    <w:rsid w:val="00671678"/>
    <w:rsid w:val="006718D2"/>
    <w:rsid w:val="00674BA1"/>
    <w:rsid w:val="00674D09"/>
    <w:rsid w:val="00675637"/>
    <w:rsid w:val="006763BD"/>
    <w:rsid w:val="006765EC"/>
    <w:rsid w:val="00680DEF"/>
    <w:rsid w:val="006814AA"/>
    <w:rsid w:val="00681880"/>
    <w:rsid w:val="0068199E"/>
    <w:rsid w:val="0068228B"/>
    <w:rsid w:val="006822C1"/>
    <w:rsid w:val="006823F2"/>
    <w:rsid w:val="00682913"/>
    <w:rsid w:val="00682DE0"/>
    <w:rsid w:val="00682EAD"/>
    <w:rsid w:val="00682EFB"/>
    <w:rsid w:val="00682FBD"/>
    <w:rsid w:val="0068338E"/>
    <w:rsid w:val="006836B7"/>
    <w:rsid w:val="00683C73"/>
    <w:rsid w:val="00684422"/>
    <w:rsid w:val="00685622"/>
    <w:rsid w:val="006857A8"/>
    <w:rsid w:val="00685A25"/>
    <w:rsid w:val="00686002"/>
    <w:rsid w:val="00686206"/>
    <w:rsid w:val="0068674E"/>
    <w:rsid w:val="0068781B"/>
    <w:rsid w:val="0068782F"/>
    <w:rsid w:val="006878FC"/>
    <w:rsid w:val="00687FD2"/>
    <w:rsid w:val="0069043E"/>
    <w:rsid w:val="00690667"/>
    <w:rsid w:val="0069087B"/>
    <w:rsid w:val="0069137E"/>
    <w:rsid w:val="0069143D"/>
    <w:rsid w:val="006916B5"/>
    <w:rsid w:val="006917FE"/>
    <w:rsid w:val="0069279C"/>
    <w:rsid w:val="00692C7C"/>
    <w:rsid w:val="00692DE4"/>
    <w:rsid w:val="006938BA"/>
    <w:rsid w:val="00693E7D"/>
    <w:rsid w:val="00694575"/>
    <w:rsid w:val="00694A91"/>
    <w:rsid w:val="00694E85"/>
    <w:rsid w:val="00695983"/>
    <w:rsid w:val="00695DB2"/>
    <w:rsid w:val="00695FEC"/>
    <w:rsid w:val="00696575"/>
    <w:rsid w:val="006965D8"/>
    <w:rsid w:val="006967A4"/>
    <w:rsid w:val="00696E40"/>
    <w:rsid w:val="00697A83"/>
    <w:rsid w:val="00697C70"/>
    <w:rsid w:val="00697E33"/>
    <w:rsid w:val="006A00D6"/>
    <w:rsid w:val="006A01AE"/>
    <w:rsid w:val="006A0670"/>
    <w:rsid w:val="006A0DA8"/>
    <w:rsid w:val="006A0F82"/>
    <w:rsid w:val="006A1630"/>
    <w:rsid w:val="006A1E48"/>
    <w:rsid w:val="006A29C5"/>
    <w:rsid w:val="006A2CB8"/>
    <w:rsid w:val="006A2D20"/>
    <w:rsid w:val="006A4214"/>
    <w:rsid w:val="006A468C"/>
    <w:rsid w:val="006A4CA5"/>
    <w:rsid w:val="006A6398"/>
    <w:rsid w:val="006A66E8"/>
    <w:rsid w:val="006A69AF"/>
    <w:rsid w:val="006A6EDA"/>
    <w:rsid w:val="006A6F27"/>
    <w:rsid w:val="006A7249"/>
    <w:rsid w:val="006A7544"/>
    <w:rsid w:val="006A7552"/>
    <w:rsid w:val="006A7734"/>
    <w:rsid w:val="006A7AD5"/>
    <w:rsid w:val="006B010D"/>
    <w:rsid w:val="006B0199"/>
    <w:rsid w:val="006B0523"/>
    <w:rsid w:val="006B08C4"/>
    <w:rsid w:val="006B0974"/>
    <w:rsid w:val="006B15C4"/>
    <w:rsid w:val="006B1C19"/>
    <w:rsid w:val="006B1C7B"/>
    <w:rsid w:val="006B262A"/>
    <w:rsid w:val="006B28C5"/>
    <w:rsid w:val="006B30AD"/>
    <w:rsid w:val="006B3D30"/>
    <w:rsid w:val="006B3D96"/>
    <w:rsid w:val="006B4253"/>
    <w:rsid w:val="006B45CE"/>
    <w:rsid w:val="006B5477"/>
    <w:rsid w:val="006B58B8"/>
    <w:rsid w:val="006B6278"/>
    <w:rsid w:val="006B62BF"/>
    <w:rsid w:val="006B650F"/>
    <w:rsid w:val="006B6AD5"/>
    <w:rsid w:val="006B727E"/>
    <w:rsid w:val="006B7F2A"/>
    <w:rsid w:val="006C004C"/>
    <w:rsid w:val="006C09BC"/>
    <w:rsid w:val="006C0A32"/>
    <w:rsid w:val="006C1E16"/>
    <w:rsid w:val="006C2875"/>
    <w:rsid w:val="006C3172"/>
    <w:rsid w:val="006C31F5"/>
    <w:rsid w:val="006C3279"/>
    <w:rsid w:val="006C36A3"/>
    <w:rsid w:val="006C39B1"/>
    <w:rsid w:val="006C452A"/>
    <w:rsid w:val="006C457E"/>
    <w:rsid w:val="006C4812"/>
    <w:rsid w:val="006C4BD1"/>
    <w:rsid w:val="006C4CF0"/>
    <w:rsid w:val="006C4FBF"/>
    <w:rsid w:val="006C5256"/>
    <w:rsid w:val="006C52C3"/>
    <w:rsid w:val="006C5825"/>
    <w:rsid w:val="006C5CAC"/>
    <w:rsid w:val="006C6023"/>
    <w:rsid w:val="006C61F9"/>
    <w:rsid w:val="006C66E1"/>
    <w:rsid w:val="006C6856"/>
    <w:rsid w:val="006C6ADD"/>
    <w:rsid w:val="006C6B90"/>
    <w:rsid w:val="006C6BAD"/>
    <w:rsid w:val="006C7334"/>
    <w:rsid w:val="006C762F"/>
    <w:rsid w:val="006C78CE"/>
    <w:rsid w:val="006C7E89"/>
    <w:rsid w:val="006D0A87"/>
    <w:rsid w:val="006D0C47"/>
    <w:rsid w:val="006D133D"/>
    <w:rsid w:val="006D2447"/>
    <w:rsid w:val="006D2A77"/>
    <w:rsid w:val="006D311E"/>
    <w:rsid w:val="006D3D88"/>
    <w:rsid w:val="006D3D8B"/>
    <w:rsid w:val="006D4453"/>
    <w:rsid w:val="006D5161"/>
    <w:rsid w:val="006D52DA"/>
    <w:rsid w:val="006D571B"/>
    <w:rsid w:val="006D6168"/>
    <w:rsid w:val="006D6175"/>
    <w:rsid w:val="006D6704"/>
    <w:rsid w:val="006D6746"/>
    <w:rsid w:val="006D6782"/>
    <w:rsid w:val="006D7E47"/>
    <w:rsid w:val="006D7E6A"/>
    <w:rsid w:val="006D7E7C"/>
    <w:rsid w:val="006E01CC"/>
    <w:rsid w:val="006E04D4"/>
    <w:rsid w:val="006E0BEA"/>
    <w:rsid w:val="006E1388"/>
    <w:rsid w:val="006E144D"/>
    <w:rsid w:val="006E1C9A"/>
    <w:rsid w:val="006E1D46"/>
    <w:rsid w:val="006E2438"/>
    <w:rsid w:val="006E29B8"/>
    <w:rsid w:val="006E2A83"/>
    <w:rsid w:val="006E392C"/>
    <w:rsid w:val="006E3A0F"/>
    <w:rsid w:val="006E3AA2"/>
    <w:rsid w:val="006E490E"/>
    <w:rsid w:val="006E51AB"/>
    <w:rsid w:val="006E55DF"/>
    <w:rsid w:val="006E6498"/>
    <w:rsid w:val="006E6A08"/>
    <w:rsid w:val="006E6AA6"/>
    <w:rsid w:val="006F0065"/>
    <w:rsid w:val="006F0B08"/>
    <w:rsid w:val="006F0DA1"/>
    <w:rsid w:val="006F0F66"/>
    <w:rsid w:val="006F198F"/>
    <w:rsid w:val="006F23BD"/>
    <w:rsid w:val="006F2746"/>
    <w:rsid w:val="006F2845"/>
    <w:rsid w:val="006F3111"/>
    <w:rsid w:val="006F46C0"/>
    <w:rsid w:val="006F4B8E"/>
    <w:rsid w:val="006F4BD1"/>
    <w:rsid w:val="006F4DB3"/>
    <w:rsid w:val="006F50CA"/>
    <w:rsid w:val="006F531F"/>
    <w:rsid w:val="006F594B"/>
    <w:rsid w:val="006F5D6C"/>
    <w:rsid w:val="006F618C"/>
    <w:rsid w:val="006F61AC"/>
    <w:rsid w:val="006F66AE"/>
    <w:rsid w:val="006F7331"/>
    <w:rsid w:val="00700286"/>
    <w:rsid w:val="0070032B"/>
    <w:rsid w:val="00700406"/>
    <w:rsid w:val="007011FB"/>
    <w:rsid w:val="00701205"/>
    <w:rsid w:val="00701730"/>
    <w:rsid w:val="00701E12"/>
    <w:rsid w:val="00701E5D"/>
    <w:rsid w:val="007023E5"/>
    <w:rsid w:val="00702424"/>
    <w:rsid w:val="00702696"/>
    <w:rsid w:val="00702C9E"/>
    <w:rsid w:val="00703908"/>
    <w:rsid w:val="007042E2"/>
    <w:rsid w:val="00704D17"/>
    <w:rsid w:val="00704EE9"/>
    <w:rsid w:val="0070511B"/>
    <w:rsid w:val="00705647"/>
    <w:rsid w:val="0070565E"/>
    <w:rsid w:val="007058DE"/>
    <w:rsid w:val="00705D71"/>
    <w:rsid w:val="00705DE0"/>
    <w:rsid w:val="00705FEE"/>
    <w:rsid w:val="007061BD"/>
    <w:rsid w:val="00707535"/>
    <w:rsid w:val="00707BF9"/>
    <w:rsid w:val="007101D9"/>
    <w:rsid w:val="00710B2B"/>
    <w:rsid w:val="00710E65"/>
    <w:rsid w:val="00712B2C"/>
    <w:rsid w:val="00713A57"/>
    <w:rsid w:val="00713D13"/>
    <w:rsid w:val="00713FEC"/>
    <w:rsid w:val="00714109"/>
    <w:rsid w:val="0071415C"/>
    <w:rsid w:val="007143B0"/>
    <w:rsid w:val="00714A80"/>
    <w:rsid w:val="00714D13"/>
    <w:rsid w:val="0071604E"/>
    <w:rsid w:val="00717539"/>
    <w:rsid w:val="007176C4"/>
    <w:rsid w:val="007177AA"/>
    <w:rsid w:val="007178D2"/>
    <w:rsid w:val="00717CC0"/>
    <w:rsid w:val="00720179"/>
    <w:rsid w:val="00720538"/>
    <w:rsid w:val="0072087D"/>
    <w:rsid w:val="0072214D"/>
    <w:rsid w:val="007222EE"/>
    <w:rsid w:val="00722717"/>
    <w:rsid w:val="00722CF3"/>
    <w:rsid w:val="007231AE"/>
    <w:rsid w:val="0072357F"/>
    <w:rsid w:val="00723753"/>
    <w:rsid w:val="00723BF0"/>
    <w:rsid w:val="00723BF5"/>
    <w:rsid w:val="00723CCB"/>
    <w:rsid w:val="00723FA6"/>
    <w:rsid w:val="0072445A"/>
    <w:rsid w:val="007246F3"/>
    <w:rsid w:val="00724B6D"/>
    <w:rsid w:val="00724C2F"/>
    <w:rsid w:val="007250C0"/>
    <w:rsid w:val="00725152"/>
    <w:rsid w:val="0072516F"/>
    <w:rsid w:val="007251BC"/>
    <w:rsid w:val="00725629"/>
    <w:rsid w:val="0072613F"/>
    <w:rsid w:val="00726C74"/>
    <w:rsid w:val="00726E22"/>
    <w:rsid w:val="00727223"/>
    <w:rsid w:val="0072722C"/>
    <w:rsid w:val="00727569"/>
    <w:rsid w:val="00727FDD"/>
    <w:rsid w:val="00730031"/>
    <w:rsid w:val="0073059D"/>
    <w:rsid w:val="007325F9"/>
    <w:rsid w:val="007338C1"/>
    <w:rsid w:val="00733C89"/>
    <w:rsid w:val="007343C0"/>
    <w:rsid w:val="0073462A"/>
    <w:rsid w:val="00734791"/>
    <w:rsid w:val="00734919"/>
    <w:rsid w:val="00734A6D"/>
    <w:rsid w:val="00734F5E"/>
    <w:rsid w:val="0073523A"/>
    <w:rsid w:val="0073564B"/>
    <w:rsid w:val="007356D7"/>
    <w:rsid w:val="00735A00"/>
    <w:rsid w:val="00736672"/>
    <w:rsid w:val="00736C65"/>
    <w:rsid w:val="00736DE7"/>
    <w:rsid w:val="0073704D"/>
    <w:rsid w:val="00737944"/>
    <w:rsid w:val="00737C44"/>
    <w:rsid w:val="00740266"/>
    <w:rsid w:val="0074045D"/>
    <w:rsid w:val="0074067B"/>
    <w:rsid w:val="00740C8C"/>
    <w:rsid w:val="00740E55"/>
    <w:rsid w:val="0074139F"/>
    <w:rsid w:val="00741786"/>
    <w:rsid w:val="007417A8"/>
    <w:rsid w:val="00742063"/>
    <w:rsid w:val="00742595"/>
    <w:rsid w:val="00742B33"/>
    <w:rsid w:val="0074316A"/>
    <w:rsid w:val="007439E5"/>
    <w:rsid w:val="00743CAE"/>
    <w:rsid w:val="0074454D"/>
    <w:rsid w:val="007445CD"/>
    <w:rsid w:val="00744890"/>
    <w:rsid w:val="00744DEA"/>
    <w:rsid w:val="007451D3"/>
    <w:rsid w:val="007458F4"/>
    <w:rsid w:val="00745D0D"/>
    <w:rsid w:val="00745F60"/>
    <w:rsid w:val="0074755D"/>
    <w:rsid w:val="00750472"/>
    <w:rsid w:val="00750FE2"/>
    <w:rsid w:val="00751085"/>
    <w:rsid w:val="00751755"/>
    <w:rsid w:val="00751BA7"/>
    <w:rsid w:val="0075235C"/>
    <w:rsid w:val="0075242D"/>
    <w:rsid w:val="00752FE8"/>
    <w:rsid w:val="007534E3"/>
    <w:rsid w:val="00753C60"/>
    <w:rsid w:val="00753F63"/>
    <w:rsid w:val="00753FB5"/>
    <w:rsid w:val="007543CE"/>
    <w:rsid w:val="0075465E"/>
    <w:rsid w:val="00754D99"/>
    <w:rsid w:val="00754E85"/>
    <w:rsid w:val="00754F7A"/>
    <w:rsid w:val="00755162"/>
    <w:rsid w:val="00755231"/>
    <w:rsid w:val="00755282"/>
    <w:rsid w:val="00755618"/>
    <w:rsid w:val="00755636"/>
    <w:rsid w:val="00755825"/>
    <w:rsid w:val="007559F6"/>
    <w:rsid w:val="00756658"/>
    <w:rsid w:val="00756B76"/>
    <w:rsid w:val="00756D1E"/>
    <w:rsid w:val="00757B86"/>
    <w:rsid w:val="00757BC4"/>
    <w:rsid w:val="00760C8F"/>
    <w:rsid w:val="00760D53"/>
    <w:rsid w:val="00760FEC"/>
    <w:rsid w:val="007610F0"/>
    <w:rsid w:val="0076119A"/>
    <w:rsid w:val="007616A2"/>
    <w:rsid w:val="00761787"/>
    <w:rsid w:val="00761A1D"/>
    <w:rsid w:val="00762569"/>
    <w:rsid w:val="007629DD"/>
    <w:rsid w:val="00762C50"/>
    <w:rsid w:val="0076390E"/>
    <w:rsid w:val="00763E70"/>
    <w:rsid w:val="007642AC"/>
    <w:rsid w:val="007642E5"/>
    <w:rsid w:val="007644D7"/>
    <w:rsid w:val="00764A7D"/>
    <w:rsid w:val="00764E78"/>
    <w:rsid w:val="00764FCA"/>
    <w:rsid w:val="007664F9"/>
    <w:rsid w:val="007668FE"/>
    <w:rsid w:val="00766AE7"/>
    <w:rsid w:val="007671C3"/>
    <w:rsid w:val="007671EA"/>
    <w:rsid w:val="00767DB5"/>
    <w:rsid w:val="007704DA"/>
    <w:rsid w:val="00770EC9"/>
    <w:rsid w:val="0077118D"/>
    <w:rsid w:val="0077171F"/>
    <w:rsid w:val="00771B24"/>
    <w:rsid w:val="00771C5D"/>
    <w:rsid w:val="007723BB"/>
    <w:rsid w:val="00772ABF"/>
    <w:rsid w:val="00772DFE"/>
    <w:rsid w:val="007733C5"/>
    <w:rsid w:val="007735D0"/>
    <w:rsid w:val="007744E3"/>
    <w:rsid w:val="0077475B"/>
    <w:rsid w:val="00774BF0"/>
    <w:rsid w:val="0077575A"/>
    <w:rsid w:val="007757D4"/>
    <w:rsid w:val="007763CE"/>
    <w:rsid w:val="007767B0"/>
    <w:rsid w:val="00776A0D"/>
    <w:rsid w:val="00777A3D"/>
    <w:rsid w:val="00780086"/>
    <w:rsid w:val="00780AC2"/>
    <w:rsid w:val="0078159C"/>
    <w:rsid w:val="007815AD"/>
    <w:rsid w:val="00781919"/>
    <w:rsid w:val="00781B11"/>
    <w:rsid w:val="00781E35"/>
    <w:rsid w:val="00782450"/>
    <w:rsid w:val="007828D7"/>
    <w:rsid w:val="00782938"/>
    <w:rsid w:val="00782C51"/>
    <w:rsid w:val="00782E73"/>
    <w:rsid w:val="007839B6"/>
    <w:rsid w:val="00783F84"/>
    <w:rsid w:val="0078481B"/>
    <w:rsid w:val="00784842"/>
    <w:rsid w:val="0078553D"/>
    <w:rsid w:val="00785CCF"/>
    <w:rsid w:val="00785F80"/>
    <w:rsid w:val="0078638E"/>
    <w:rsid w:val="0078650E"/>
    <w:rsid w:val="00787223"/>
    <w:rsid w:val="007874BE"/>
    <w:rsid w:val="007879D8"/>
    <w:rsid w:val="00790409"/>
    <w:rsid w:val="007904F5"/>
    <w:rsid w:val="00790F20"/>
    <w:rsid w:val="00791F6F"/>
    <w:rsid w:val="007926BF"/>
    <w:rsid w:val="00792968"/>
    <w:rsid w:val="00792F06"/>
    <w:rsid w:val="007938FF"/>
    <w:rsid w:val="00793913"/>
    <w:rsid w:val="00794056"/>
    <w:rsid w:val="00794303"/>
    <w:rsid w:val="00794AFA"/>
    <w:rsid w:val="00794E22"/>
    <w:rsid w:val="00795468"/>
    <w:rsid w:val="00795B8F"/>
    <w:rsid w:val="007963E3"/>
    <w:rsid w:val="007968FB"/>
    <w:rsid w:val="007969B3"/>
    <w:rsid w:val="00796E66"/>
    <w:rsid w:val="007971C6"/>
    <w:rsid w:val="0079745D"/>
    <w:rsid w:val="00797C80"/>
    <w:rsid w:val="007A029F"/>
    <w:rsid w:val="007A05AF"/>
    <w:rsid w:val="007A093E"/>
    <w:rsid w:val="007A0B0F"/>
    <w:rsid w:val="007A0DBC"/>
    <w:rsid w:val="007A0F1A"/>
    <w:rsid w:val="007A104C"/>
    <w:rsid w:val="007A10E2"/>
    <w:rsid w:val="007A1B9A"/>
    <w:rsid w:val="007A2A22"/>
    <w:rsid w:val="007A2A68"/>
    <w:rsid w:val="007A2B2C"/>
    <w:rsid w:val="007A36AA"/>
    <w:rsid w:val="007A3913"/>
    <w:rsid w:val="007A438A"/>
    <w:rsid w:val="007A4A54"/>
    <w:rsid w:val="007A4C4E"/>
    <w:rsid w:val="007A5DED"/>
    <w:rsid w:val="007A638F"/>
    <w:rsid w:val="007A6601"/>
    <w:rsid w:val="007A6FE0"/>
    <w:rsid w:val="007A70BA"/>
    <w:rsid w:val="007A788B"/>
    <w:rsid w:val="007A7D29"/>
    <w:rsid w:val="007A7F4F"/>
    <w:rsid w:val="007B0B58"/>
    <w:rsid w:val="007B23A8"/>
    <w:rsid w:val="007B27DE"/>
    <w:rsid w:val="007B2BAF"/>
    <w:rsid w:val="007B2CF6"/>
    <w:rsid w:val="007B30A5"/>
    <w:rsid w:val="007B31C3"/>
    <w:rsid w:val="007B332C"/>
    <w:rsid w:val="007B377D"/>
    <w:rsid w:val="007B3D08"/>
    <w:rsid w:val="007B3DDC"/>
    <w:rsid w:val="007B3F61"/>
    <w:rsid w:val="007B419F"/>
    <w:rsid w:val="007B4796"/>
    <w:rsid w:val="007B47B5"/>
    <w:rsid w:val="007B5270"/>
    <w:rsid w:val="007B5275"/>
    <w:rsid w:val="007B5983"/>
    <w:rsid w:val="007B5B10"/>
    <w:rsid w:val="007B607D"/>
    <w:rsid w:val="007B6299"/>
    <w:rsid w:val="007B67C0"/>
    <w:rsid w:val="007B6FCD"/>
    <w:rsid w:val="007B73F9"/>
    <w:rsid w:val="007C0B76"/>
    <w:rsid w:val="007C0C89"/>
    <w:rsid w:val="007C187F"/>
    <w:rsid w:val="007C1D8B"/>
    <w:rsid w:val="007C232E"/>
    <w:rsid w:val="007C2F9B"/>
    <w:rsid w:val="007C3364"/>
    <w:rsid w:val="007C39AC"/>
    <w:rsid w:val="007C3BD1"/>
    <w:rsid w:val="007C3C46"/>
    <w:rsid w:val="007C3D68"/>
    <w:rsid w:val="007C44A2"/>
    <w:rsid w:val="007C4AFA"/>
    <w:rsid w:val="007C5B82"/>
    <w:rsid w:val="007C738D"/>
    <w:rsid w:val="007C7563"/>
    <w:rsid w:val="007C764D"/>
    <w:rsid w:val="007C7A97"/>
    <w:rsid w:val="007D00FC"/>
    <w:rsid w:val="007D02B5"/>
    <w:rsid w:val="007D0C76"/>
    <w:rsid w:val="007D0F8C"/>
    <w:rsid w:val="007D14F7"/>
    <w:rsid w:val="007D1E39"/>
    <w:rsid w:val="007D229D"/>
    <w:rsid w:val="007D2B70"/>
    <w:rsid w:val="007D2F70"/>
    <w:rsid w:val="007D38F4"/>
    <w:rsid w:val="007D3EFA"/>
    <w:rsid w:val="007D4499"/>
    <w:rsid w:val="007D474F"/>
    <w:rsid w:val="007D509D"/>
    <w:rsid w:val="007D5ABD"/>
    <w:rsid w:val="007D5B0B"/>
    <w:rsid w:val="007D6335"/>
    <w:rsid w:val="007D696D"/>
    <w:rsid w:val="007D6B30"/>
    <w:rsid w:val="007D6EEC"/>
    <w:rsid w:val="007D7144"/>
    <w:rsid w:val="007D737F"/>
    <w:rsid w:val="007D74E2"/>
    <w:rsid w:val="007D7857"/>
    <w:rsid w:val="007E038F"/>
    <w:rsid w:val="007E08D6"/>
    <w:rsid w:val="007E0E0C"/>
    <w:rsid w:val="007E0F20"/>
    <w:rsid w:val="007E127B"/>
    <w:rsid w:val="007E1E49"/>
    <w:rsid w:val="007E1F7D"/>
    <w:rsid w:val="007E204C"/>
    <w:rsid w:val="007E257C"/>
    <w:rsid w:val="007E31A9"/>
    <w:rsid w:val="007E36A7"/>
    <w:rsid w:val="007E3B4C"/>
    <w:rsid w:val="007E3E52"/>
    <w:rsid w:val="007E3FA5"/>
    <w:rsid w:val="007E4461"/>
    <w:rsid w:val="007E4618"/>
    <w:rsid w:val="007E5F91"/>
    <w:rsid w:val="007E652C"/>
    <w:rsid w:val="007E74F2"/>
    <w:rsid w:val="007E7683"/>
    <w:rsid w:val="007E7B54"/>
    <w:rsid w:val="007E7C1C"/>
    <w:rsid w:val="007F01F7"/>
    <w:rsid w:val="007F0267"/>
    <w:rsid w:val="007F098E"/>
    <w:rsid w:val="007F111D"/>
    <w:rsid w:val="007F158B"/>
    <w:rsid w:val="007F187F"/>
    <w:rsid w:val="007F1D0C"/>
    <w:rsid w:val="007F1D2E"/>
    <w:rsid w:val="007F2711"/>
    <w:rsid w:val="007F28A3"/>
    <w:rsid w:val="007F2B7C"/>
    <w:rsid w:val="007F2CF0"/>
    <w:rsid w:val="007F2EA8"/>
    <w:rsid w:val="007F2EB9"/>
    <w:rsid w:val="007F329C"/>
    <w:rsid w:val="007F3A14"/>
    <w:rsid w:val="007F4A2E"/>
    <w:rsid w:val="007F4A6A"/>
    <w:rsid w:val="007F4C9E"/>
    <w:rsid w:val="007F4EE0"/>
    <w:rsid w:val="007F4F3E"/>
    <w:rsid w:val="007F550B"/>
    <w:rsid w:val="007F5925"/>
    <w:rsid w:val="007F607B"/>
    <w:rsid w:val="007F6BC1"/>
    <w:rsid w:val="0080099A"/>
    <w:rsid w:val="00800D67"/>
    <w:rsid w:val="00800E9B"/>
    <w:rsid w:val="00800FB3"/>
    <w:rsid w:val="008010AE"/>
    <w:rsid w:val="00801742"/>
    <w:rsid w:val="0080191B"/>
    <w:rsid w:val="00801A3C"/>
    <w:rsid w:val="00802A51"/>
    <w:rsid w:val="00802D20"/>
    <w:rsid w:val="0080349F"/>
    <w:rsid w:val="0080355A"/>
    <w:rsid w:val="00803CBB"/>
    <w:rsid w:val="00803F46"/>
    <w:rsid w:val="008048FA"/>
    <w:rsid w:val="0080532F"/>
    <w:rsid w:val="0080609D"/>
    <w:rsid w:val="008076AC"/>
    <w:rsid w:val="00807BFF"/>
    <w:rsid w:val="00807DC3"/>
    <w:rsid w:val="008105BE"/>
    <w:rsid w:val="00810D60"/>
    <w:rsid w:val="008110F9"/>
    <w:rsid w:val="00811B9D"/>
    <w:rsid w:val="00811BB7"/>
    <w:rsid w:val="00811DEC"/>
    <w:rsid w:val="00812155"/>
    <w:rsid w:val="008121CE"/>
    <w:rsid w:val="00812B68"/>
    <w:rsid w:val="00812FFD"/>
    <w:rsid w:val="00813F9E"/>
    <w:rsid w:val="00814696"/>
    <w:rsid w:val="0081484D"/>
    <w:rsid w:val="00814BC9"/>
    <w:rsid w:val="00815B41"/>
    <w:rsid w:val="00815E3F"/>
    <w:rsid w:val="00816327"/>
    <w:rsid w:val="00816A91"/>
    <w:rsid w:val="00816DAD"/>
    <w:rsid w:val="008179BB"/>
    <w:rsid w:val="00817AD0"/>
    <w:rsid w:val="00820E6F"/>
    <w:rsid w:val="00820E96"/>
    <w:rsid w:val="00821265"/>
    <w:rsid w:val="00822176"/>
    <w:rsid w:val="00822205"/>
    <w:rsid w:val="00822226"/>
    <w:rsid w:val="0082225D"/>
    <w:rsid w:val="0082254E"/>
    <w:rsid w:val="00822837"/>
    <w:rsid w:val="00822D3E"/>
    <w:rsid w:val="00822D5B"/>
    <w:rsid w:val="00822D66"/>
    <w:rsid w:val="00823DC1"/>
    <w:rsid w:val="00823EAC"/>
    <w:rsid w:val="00824D69"/>
    <w:rsid w:val="0082632B"/>
    <w:rsid w:val="00826963"/>
    <w:rsid w:val="00826B94"/>
    <w:rsid w:val="00826B9D"/>
    <w:rsid w:val="00827356"/>
    <w:rsid w:val="008273DA"/>
    <w:rsid w:val="00827742"/>
    <w:rsid w:val="0082790C"/>
    <w:rsid w:val="00831182"/>
    <w:rsid w:val="00831433"/>
    <w:rsid w:val="0083144C"/>
    <w:rsid w:val="008316D1"/>
    <w:rsid w:val="00831715"/>
    <w:rsid w:val="00831749"/>
    <w:rsid w:val="00831BE1"/>
    <w:rsid w:val="008322E8"/>
    <w:rsid w:val="00832A1F"/>
    <w:rsid w:val="00832F10"/>
    <w:rsid w:val="008339A8"/>
    <w:rsid w:val="00833A54"/>
    <w:rsid w:val="00833ABA"/>
    <w:rsid w:val="00833BF3"/>
    <w:rsid w:val="00834473"/>
    <w:rsid w:val="00834B5B"/>
    <w:rsid w:val="00834C6C"/>
    <w:rsid w:val="00835056"/>
    <w:rsid w:val="008350F7"/>
    <w:rsid w:val="008351A1"/>
    <w:rsid w:val="0083578F"/>
    <w:rsid w:val="008359B7"/>
    <w:rsid w:val="00835B63"/>
    <w:rsid w:val="00837017"/>
    <w:rsid w:val="008371F6"/>
    <w:rsid w:val="008372AA"/>
    <w:rsid w:val="00837B9F"/>
    <w:rsid w:val="00837E06"/>
    <w:rsid w:val="00837E4E"/>
    <w:rsid w:val="00837EE9"/>
    <w:rsid w:val="008405F6"/>
    <w:rsid w:val="00840B71"/>
    <w:rsid w:val="008415C8"/>
    <w:rsid w:val="0084182A"/>
    <w:rsid w:val="00842071"/>
    <w:rsid w:val="008422BB"/>
    <w:rsid w:val="00844208"/>
    <w:rsid w:val="00844537"/>
    <w:rsid w:val="00844A23"/>
    <w:rsid w:val="00844BC2"/>
    <w:rsid w:val="00845105"/>
    <w:rsid w:val="00845265"/>
    <w:rsid w:val="0084599C"/>
    <w:rsid w:val="00845C33"/>
    <w:rsid w:val="00845E59"/>
    <w:rsid w:val="008465D4"/>
    <w:rsid w:val="008466D6"/>
    <w:rsid w:val="00846735"/>
    <w:rsid w:val="00846E6A"/>
    <w:rsid w:val="0084748E"/>
    <w:rsid w:val="0084759C"/>
    <w:rsid w:val="00847FCE"/>
    <w:rsid w:val="00850073"/>
    <w:rsid w:val="008514BC"/>
    <w:rsid w:val="00851666"/>
    <w:rsid w:val="008519C2"/>
    <w:rsid w:val="008519F1"/>
    <w:rsid w:val="008521F9"/>
    <w:rsid w:val="00852782"/>
    <w:rsid w:val="00852970"/>
    <w:rsid w:val="00852978"/>
    <w:rsid w:val="00852BAD"/>
    <w:rsid w:val="00852DBF"/>
    <w:rsid w:val="008530B1"/>
    <w:rsid w:val="008532A8"/>
    <w:rsid w:val="00853602"/>
    <w:rsid w:val="00853948"/>
    <w:rsid w:val="00854100"/>
    <w:rsid w:val="008549D2"/>
    <w:rsid w:val="00854B96"/>
    <w:rsid w:val="0085559F"/>
    <w:rsid w:val="00855926"/>
    <w:rsid w:val="00855B10"/>
    <w:rsid w:val="00855B2F"/>
    <w:rsid w:val="00856417"/>
    <w:rsid w:val="00856C49"/>
    <w:rsid w:val="00856F85"/>
    <w:rsid w:val="0085720D"/>
    <w:rsid w:val="00857549"/>
    <w:rsid w:val="008601B1"/>
    <w:rsid w:val="008601D7"/>
    <w:rsid w:val="00860E22"/>
    <w:rsid w:val="00861CF0"/>
    <w:rsid w:val="00861E06"/>
    <w:rsid w:val="00861F4D"/>
    <w:rsid w:val="0086220D"/>
    <w:rsid w:val="0086273C"/>
    <w:rsid w:val="00862790"/>
    <w:rsid w:val="00862AB8"/>
    <w:rsid w:val="0086327E"/>
    <w:rsid w:val="00863481"/>
    <w:rsid w:val="00863AF0"/>
    <w:rsid w:val="00863C36"/>
    <w:rsid w:val="00863FA6"/>
    <w:rsid w:val="00863FCF"/>
    <w:rsid w:val="00864414"/>
    <w:rsid w:val="008645F9"/>
    <w:rsid w:val="008647DA"/>
    <w:rsid w:val="008648FD"/>
    <w:rsid w:val="008654D2"/>
    <w:rsid w:val="008657B1"/>
    <w:rsid w:val="00866346"/>
    <w:rsid w:val="00866A8C"/>
    <w:rsid w:val="00866C0E"/>
    <w:rsid w:val="008676F3"/>
    <w:rsid w:val="00867F0E"/>
    <w:rsid w:val="008701A3"/>
    <w:rsid w:val="00870327"/>
    <w:rsid w:val="00872260"/>
    <w:rsid w:val="008724CC"/>
    <w:rsid w:val="008728F7"/>
    <w:rsid w:val="00872AFF"/>
    <w:rsid w:val="00873711"/>
    <w:rsid w:val="00873C40"/>
    <w:rsid w:val="00873F9C"/>
    <w:rsid w:val="00874826"/>
    <w:rsid w:val="00874D51"/>
    <w:rsid w:val="008754A9"/>
    <w:rsid w:val="0087554D"/>
    <w:rsid w:val="008757AD"/>
    <w:rsid w:val="00875F5F"/>
    <w:rsid w:val="008764D8"/>
    <w:rsid w:val="00876A2D"/>
    <w:rsid w:val="00876ADA"/>
    <w:rsid w:val="00877414"/>
    <w:rsid w:val="0087756E"/>
    <w:rsid w:val="008802CA"/>
    <w:rsid w:val="00880B3F"/>
    <w:rsid w:val="00881832"/>
    <w:rsid w:val="00881F45"/>
    <w:rsid w:val="00882376"/>
    <w:rsid w:val="008827BC"/>
    <w:rsid w:val="00882B04"/>
    <w:rsid w:val="00882DDB"/>
    <w:rsid w:val="00882FE2"/>
    <w:rsid w:val="00883B10"/>
    <w:rsid w:val="008843CE"/>
    <w:rsid w:val="008846DB"/>
    <w:rsid w:val="008852BF"/>
    <w:rsid w:val="008852CC"/>
    <w:rsid w:val="008854E5"/>
    <w:rsid w:val="00885753"/>
    <w:rsid w:val="00885A6E"/>
    <w:rsid w:val="0088645D"/>
    <w:rsid w:val="00886724"/>
    <w:rsid w:val="00886861"/>
    <w:rsid w:val="00886A45"/>
    <w:rsid w:val="00886E5B"/>
    <w:rsid w:val="008873B8"/>
    <w:rsid w:val="008879FB"/>
    <w:rsid w:val="00887B47"/>
    <w:rsid w:val="00887B54"/>
    <w:rsid w:val="0089030B"/>
    <w:rsid w:val="008904A1"/>
    <w:rsid w:val="008911ED"/>
    <w:rsid w:val="00891776"/>
    <w:rsid w:val="0089191A"/>
    <w:rsid w:val="00891BE8"/>
    <w:rsid w:val="0089244F"/>
    <w:rsid w:val="0089321D"/>
    <w:rsid w:val="008932A7"/>
    <w:rsid w:val="008932B6"/>
    <w:rsid w:val="00893349"/>
    <w:rsid w:val="008938C4"/>
    <w:rsid w:val="00893EEB"/>
    <w:rsid w:val="008942DC"/>
    <w:rsid w:val="008949E3"/>
    <w:rsid w:val="00894E86"/>
    <w:rsid w:val="00895103"/>
    <w:rsid w:val="008959EC"/>
    <w:rsid w:val="008964A8"/>
    <w:rsid w:val="00896537"/>
    <w:rsid w:val="0089682A"/>
    <w:rsid w:val="00896838"/>
    <w:rsid w:val="008972BA"/>
    <w:rsid w:val="00897765"/>
    <w:rsid w:val="00897ACD"/>
    <w:rsid w:val="008A0211"/>
    <w:rsid w:val="008A0718"/>
    <w:rsid w:val="008A0D9C"/>
    <w:rsid w:val="008A1174"/>
    <w:rsid w:val="008A1B89"/>
    <w:rsid w:val="008A21E5"/>
    <w:rsid w:val="008A24CF"/>
    <w:rsid w:val="008A24ED"/>
    <w:rsid w:val="008A2946"/>
    <w:rsid w:val="008A2A7A"/>
    <w:rsid w:val="008A2EB2"/>
    <w:rsid w:val="008A3B65"/>
    <w:rsid w:val="008A3C08"/>
    <w:rsid w:val="008A41B0"/>
    <w:rsid w:val="008A4F79"/>
    <w:rsid w:val="008A53E0"/>
    <w:rsid w:val="008A5BBE"/>
    <w:rsid w:val="008A5C82"/>
    <w:rsid w:val="008A7524"/>
    <w:rsid w:val="008A785E"/>
    <w:rsid w:val="008A7BA8"/>
    <w:rsid w:val="008A7BDF"/>
    <w:rsid w:val="008B0B37"/>
    <w:rsid w:val="008B0DFD"/>
    <w:rsid w:val="008B1029"/>
    <w:rsid w:val="008B2AE4"/>
    <w:rsid w:val="008B2F61"/>
    <w:rsid w:val="008B345D"/>
    <w:rsid w:val="008B3ACC"/>
    <w:rsid w:val="008B43C8"/>
    <w:rsid w:val="008B43CC"/>
    <w:rsid w:val="008B543A"/>
    <w:rsid w:val="008B5AB8"/>
    <w:rsid w:val="008B5CFF"/>
    <w:rsid w:val="008B647C"/>
    <w:rsid w:val="008B64AF"/>
    <w:rsid w:val="008B6584"/>
    <w:rsid w:val="008B6643"/>
    <w:rsid w:val="008B704A"/>
    <w:rsid w:val="008B7C23"/>
    <w:rsid w:val="008B7CA0"/>
    <w:rsid w:val="008C0EDA"/>
    <w:rsid w:val="008C15A7"/>
    <w:rsid w:val="008C1A4F"/>
    <w:rsid w:val="008C2B31"/>
    <w:rsid w:val="008C3CC5"/>
    <w:rsid w:val="008C3D7B"/>
    <w:rsid w:val="008C4BE0"/>
    <w:rsid w:val="008C525F"/>
    <w:rsid w:val="008C61D5"/>
    <w:rsid w:val="008C6A25"/>
    <w:rsid w:val="008C6D06"/>
    <w:rsid w:val="008C6EB4"/>
    <w:rsid w:val="008C714B"/>
    <w:rsid w:val="008C79C9"/>
    <w:rsid w:val="008D0233"/>
    <w:rsid w:val="008D0833"/>
    <w:rsid w:val="008D0CAC"/>
    <w:rsid w:val="008D118E"/>
    <w:rsid w:val="008D12EA"/>
    <w:rsid w:val="008D13FF"/>
    <w:rsid w:val="008D147E"/>
    <w:rsid w:val="008D1845"/>
    <w:rsid w:val="008D2173"/>
    <w:rsid w:val="008D2345"/>
    <w:rsid w:val="008D241E"/>
    <w:rsid w:val="008D2911"/>
    <w:rsid w:val="008D30B0"/>
    <w:rsid w:val="008D36F5"/>
    <w:rsid w:val="008D41AC"/>
    <w:rsid w:val="008D433B"/>
    <w:rsid w:val="008D49EB"/>
    <w:rsid w:val="008D4E2E"/>
    <w:rsid w:val="008D547A"/>
    <w:rsid w:val="008D691B"/>
    <w:rsid w:val="008D6D20"/>
    <w:rsid w:val="008D7888"/>
    <w:rsid w:val="008D7F78"/>
    <w:rsid w:val="008E0B11"/>
    <w:rsid w:val="008E1D96"/>
    <w:rsid w:val="008E2177"/>
    <w:rsid w:val="008E217F"/>
    <w:rsid w:val="008E22AF"/>
    <w:rsid w:val="008E2BDB"/>
    <w:rsid w:val="008E320E"/>
    <w:rsid w:val="008E3225"/>
    <w:rsid w:val="008E476E"/>
    <w:rsid w:val="008E487F"/>
    <w:rsid w:val="008E4985"/>
    <w:rsid w:val="008E4A68"/>
    <w:rsid w:val="008E4E8B"/>
    <w:rsid w:val="008E4F8A"/>
    <w:rsid w:val="008E59A8"/>
    <w:rsid w:val="008E5C29"/>
    <w:rsid w:val="008E61BE"/>
    <w:rsid w:val="008E6408"/>
    <w:rsid w:val="008E70C8"/>
    <w:rsid w:val="008E7220"/>
    <w:rsid w:val="008E75DE"/>
    <w:rsid w:val="008E7EBB"/>
    <w:rsid w:val="008F05C8"/>
    <w:rsid w:val="008F0936"/>
    <w:rsid w:val="008F0D0C"/>
    <w:rsid w:val="008F0E12"/>
    <w:rsid w:val="008F0EC5"/>
    <w:rsid w:val="008F1E74"/>
    <w:rsid w:val="008F2173"/>
    <w:rsid w:val="008F23B5"/>
    <w:rsid w:val="008F276A"/>
    <w:rsid w:val="008F2DFB"/>
    <w:rsid w:val="008F30FE"/>
    <w:rsid w:val="008F3DC8"/>
    <w:rsid w:val="008F3E00"/>
    <w:rsid w:val="008F48C6"/>
    <w:rsid w:val="008F4B50"/>
    <w:rsid w:val="008F52AF"/>
    <w:rsid w:val="008F52D0"/>
    <w:rsid w:val="008F5301"/>
    <w:rsid w:val="008F621C"/>
    <w:rsid w:val="008F7160"/>
    <w:rsid w:val="008F78D4"/>
    <w:rsid w:val="008F7E81"/>
    <w:rsid w:val="0090117E"/>
    <w:rsid w:val="0090123A"/>
    <w:rsid w:val="009014BD"/>
    <w:rsid w:val="00901CB7"/>
    <w:rsid w:val="00901DF7"/>
    <w:rsid w:val="009022A9"/>
    <w:rsid w:val="00902455"/>
    <w:rsid w:val="009029C4"/>
    <w:rsid w:val="00902BFE"/>
    <w:rsid w:val="00902E73"/>
    <w:rsid w:val="00903E55"/>
    <w:rsid w:val="00904110"/>
    <w:rsid w:val="009044F6"/>
    <w:rsid w:val="00906404"/>
    <w:rsid w:val="009064FD"/>
    <w:rsid w:val="00906CC2"/>
    <w:rsid w:val="00906D10"/>
    <w:rsid w:val="00910711"/>
    <w:rsid w:val="009110F6"/>
    <w:rsid w:val="00911191"/>
    <w:rsid w:val="00911896"/>
    <w:rsid w:val="009118C3"/>
    <w:rsid w:val="00911E71"/>
    <w:rsid w:val="00912103"/>
    <w:rsid w:val="00912A98"/>
    <w:rsid w:val="00913D58"/>
    <w:rsid w:val="009144DA"/>
    <w:rsid w:val="009145EF"/>
    <w:rsid w:val="0091500F"/>
    <w:rsid w:val="009151BF"/>
    <w:rsid w:val="0091654B"/>
    <w:rsid w:val="00916910"/>
    <w:rsid w:val="00917606"/>
    <w:rsid w:val="00917C2A"/>
    <w:rsid w:val="00920E6A"/>
    <w:rsid w:val="009212D3"/>
    <w:rsid w:val="00921582"/>
    <w:rsid w:val="009219F5"/>
    <w:rsid w:val="00921AE5"/>
    <w:rsid w:val="00921F4E"/>
    <w:rsid w:val="00922160"/>
    <w:rsid w:val="00922173"/>
    <w:rsid w:val="00922E18"/>
    <w:rsid w:val="00922E8F"/>
    <w:rsid w:val="00922ED7"/>
    <w:rsid w:val="009232EA"/>
    <w:rsid w:val="009238BF"/>
    <w:rsid w:val="00923EDC"/>
    <w:rsid w:val="009245E5"/>
    <w:rsid w:val="00924C29"/>
    <w:rsid w:val="00924C9F"/>
    <w:rsid w:val="00925228"/>
    <w:rsid w:val="00925FE3"/>
    <w:rsid w:val="009269CB"/>
    <w:rsid w:val="00926B26"/>
    <w:rsid w:val="00926C33"/>
    <w:rsid w:val="00926DE8"/>
    <w:rsid w:val="00927D3B"/>
    <w:rsid w:val="00927D3C"/>
    <w:rsid w:val="00927E74"/>
    <w:rsid w:val="009301C2"/>
    <w:rsid w:val="009308EE"/>
    <w:rsid w:val="009309C4"/>
    <w:rsid w:val="00931569"/>
    <w:rsid w:val="00931E28"/>
    <w:rsid w:val="00932504"/>
    <w:rsid w:val="009326EA"/>
    <w:rsid w:val="00932D4E"/>
    <w:rsid w:val="009334C0"/>
    <w:rsid w:val="0093460D"/>
    <w:rsid w:val="00934D96"/>
    <w:rsid w:val="00935127"/>
    <w:rsid w:val="009357A0"/>
    <w:rsid w:val="00935C2F"/>
    <w:rsid w:val="0093676C"/>
    <w:rsid w:val="00936774"/>
    <w:rsid w:val="00937797"/>
    <w:rsid w:val="00940A60"/>
    <w:rsid w:val="00940DB0"/>
    <w:rsid w:val="00940E7F"/>
    <w:rsid w:val="0094139B"/>
    <w:rsid w:val="0094140C"/>
    <w:rsid w:val="00941783"/>
    <w:rsid w:val="00941CDB"/>
    <w:rsid w:val="00942062"/>
    <w:rsid w:val="00942182"/>
    <w:rsid w:val="009421DD"/>
    <w:rsid w:val="009421E1"/>
    <w:rsid w:val="00942795"/>
    <w:rsid w:val="00942E3D"/>
    <w:rsid w:val="00943628"/>
    <w:rsid w:val="00943A66"/>
    <w:rsid w:val="0094579F"/>
    <w:rsid w:val="00946EEA"/>
    <w:rsid w:val="00951060"/>
    <w:rsid w:val="00951580"/>
    <w:rsid w:val="0095159C"/>
    <w:rsid w:val="00951715"/>
    <w:rsid w:val="0095243D"/>
    <w:rsid w:val="00952B49"/>
    <w:rsid w:val="0095373C"/>
    <w:rsid w:val="00953817"/>
    <w:rsid w:val="0095398A"/>
    <w:rsid w:val="00953D07"/>
    <w:rsid w:val="0095439E"/>
    <w:rsid w:val="009544A1"/>
    <w:rsid w:val="00955D30"/>
    <w:rsid w:val="00955E88"/>
    <w:rsid w:val="00955EBC"/>
    <w:rsid w:val="00955F2D"/>
    <w:rsid w:val="00956377"/>
    <w:rsid w:val="009564C8"/>
    <w:rsid w:val="00956B9A"/>
    <w:rsid w:val="0095729E"/>
    <w:rsid w:val="00957CCC"/>
    <w:rsid w:val="00960292"/>
    <w:rsid w:val="0096036E"/>
    <w:rsid w:val="00960664"/>
    <w:rsid w:val="0096076E"/>
    <w:rsid w:val="00960FDE"/>
    <w:rsid w:val="009610C0"/>
    <w:rsid w:val="00961929"/>
    <w:rsid w:val="00961DD9"/>
    <w:rsid w:val="00962824"/>
    <w:rsid w:val="0096333D"/>
    <w:rsid w:val="009633F7"/>
    <w:rsid w:val="00963449"/>
    <w:rsid w:val="009634CA"/>
    <w:rsid w:val="0096388C"/>
    <w:rsid w:val="00963B8C"/>
    <w:rsid w:val="00963BC6"/>
    <w:rsid w:val="009646ED"/>
    <w:rsid w:val="0096501C"/>
    <w:rsid w:val="00965DF3"/>
    <w:rsid w:val="00966236"/>
    <w:rsid w:val="00966338"/>
    <w:rsid w:val="00966E73"/>
    <w:rsid w:val="009675A0"/>
    <w:rsid w:val="00967660"/>
    <w:rsid w:val="0096787A"/>
    <w:rsid w:val="00967CE0"/>
    <w:rsid w:val="00970304"/>
    <w:rsid w:val="009704A0"/>
    <w:rsid w:val="009708B4"/>
    <w:rsid w:val="00970ADE"/>
    <w:rsid w:val="00970B94"/>
    <w:rsid w:val="00970BED"/>
    <w:rsid w:val="00970F07"/>
    <w:rsid w:val="009714D0"/>
    <w:rsid w:val="009717FB"/>
    <w:rsid w:val="00971B0E"/>
    <w:rsid w:val="00972B53"/>
    <w:rsid w:val="00973C57"/>
    <w:rsid w:val="009752DF"/>
    <w:rsid w:val="0097562F"/>
    <w:rsid w:val="00975B84"/>
    <w:rsid w:val="00976484"/>
    <w:rsid w:val="0097668C"/>
    <w:rsid w:val="00977428"/>
    <w:rsid w:val="0097747B"/>
    <w:rsid w:val="00977BDD"/>
    <w:rsid w:val="0098055B"/>
    <w:rsid w:val="00981385"/>
    <w:rsid w:val="00981406"/>
    <w:rsid w:val="0098156F"/>
    <w:rsid w:val="009816F5"/>
    <w:rsid w:val="00981A0D"/>
    <w:rsid w:val="00981E4F"/>
    <w:rsid w:val="009821DB"/>
    <w:rsid w:val="0098225F"/>
    <w:rsid w:val="0098241C"/>
    <w:rsid w:val="0098258E"/>
    <w:rsid w:val="009833CA"/>
    <w:rsid w:val="0098349E"/>
    <w:rsid w:val="009835BF"/>
    <w:rsid w:val="00983948"/>
    <w:rsid w:val="00983A7F"/>
    <w:rsid w:val="00983FB4"/>
    <w:rsid w:val="00984101"/>
    <w:rsid w:val="009842BC"/>
    <w:rsid w:val="00984FC7"/>
    <w:rsid w:val="0098539D"/>
    <w:rsid w:val="00985719"/>
    <w:rsid w:val="00985A83"/>
    <w:rsid w:val="009866B7"/>
    <w:rsid w:val="00986CCE"/>
    <w:rsid w:val="00987EFE"/>
    <w:rsid w:val="00987F93"/>
    <w:rsid w:val="00990462"/>
    <w:rsid w:val="009905F2"/>
    <w:rsid w:val="00990658"/>
    <w:rsid w:val="00990E4A"/>
    <w:rsid w:val="00991769"/>
    <w:rsid w:val="00991FA0"/>
    <w:rsid w:val="00992468"/>
    <w:rsid w:val="00992947"/>
    <w:rsid w:val="00992C97"/>
    <w:rsid w:val="00992DAD"/>
    <w:rsid w:val="009938E6"/>
    <w:rsid w:val="00993D5F"/>
    <w:rsid w:val="0099436E"/>
    <w:rsid w:val="00994ACF"/>
    <w:rsid w:val="009953DE"/>
    <w:rsid w:val="00995B7E"/>
    <w:rsid w:val="0099640B"/>
    <w:rsid w:val="009A02A9"/>
    <w:rsid w:val="009A04E9"/>
    <w:rsid w:val="009A092E"/>
    <w:rsid w:val="009A0D16"/>
    <w:rsid w:val="009A1CD2"/>
    <w:rsid w:val="009A202D"/>
    <w:rsid w:val="009A289D"/>
    <w:rsid w:val="009A2C75"/>
    <w:rsid w:val="009A30C1"/>
    <w:rsid w:val="009A338A"/>
    <w:rsid w:val="009A33BB"/>
    <w:rsid w:val="009A3FCF"/>
    <w:rsid w:val="009A48F4"/>
    <w:rsid w:val="009A5514"/>
    <w:rsid w:val="009A5770"/>
    <w:rsid w:val="009A5E03"/>
    <w:rsid w:val="009A693C"/>
    <w:rsid w:val="009A6CF6"/>
    <w:rsid w:val="009A70E5"/>
    <w:rsid w:val="009A770B"/>
    <w:rsid w:val="009A789F"/>
    <w:rsid w:val="009A7A06"/>
    <w:rsid w:val="009A7EEC"/>
    <w:rsid w:val="009B1977"/>
    <w:rsid w:val="009B2090"/>
    <w:rsid w:val="009B28F7"/>
    <w:rsid w:val="009B2DA1"/>
    <w:rsid w:val="009B30A9"/>
    <w:rsid w:val="009B319C"/>
    <w:rsid w:val="009B3258"/>
    <w:rsid w:val="009B3B5A"/>
    <w:rsid w:val="009B3D1E"/>
    <w:rsid w:val="009B44CE"/>
    <w:rsid w:val="009B5387"/>
    <w:rsid w:val="009B5AF8"/>
    <w:rsid w:val="009B5C80"/>
    <w:rsid w:val="009B722C"/>
    <w:rsid w:val="009B72B7"/>
    <w:rsid w:val="009B7988"/>
    <w:rsid w:val="009B7AF0"/>
    <w:rsid w:val="009B7BA0"/>
    <w:rsid w:val="009B7FAE"/>
    <w:rsid w:val="009C01D1"/>
    <w:rsid w:val="009C026C"/>
    <w:rsid w:val="009C053D"/>
    <w:rsid w:val="009C0B40"/>
    <w:rsid w:val="009C1419"/>
    <w:rsid w:val="009C1D1B"/>
    <w:rsid w:val="009C1F40"/>
    <w:rsid w:val="009C233E"/>
    <w:rsid w:val="009C2B14"/>
    <w:rsid w:val="009C3118"/>
    <w:rsid w:val="009C371E"/>
    <w:rsid w:val="009C3AE5"/>
    <w:rsid w:val="009C3D90"/>
    <w:rsid w:val="009C488A"/>
    <w:rsid w:val="009C4F2C"/>
    <w:rsid w:val="009C5090"/>
    <w:rsid w:val="009C5B7A"/>
    <w:rsid w:val="009C659B"/>
    <w:rsid w:val="009C68EC"/>
    <w:rsid w:val="009C6918"/>
    <w:rsid w:val="009C6B32"/>
    <w:rsid w:val="009C6BCF"/>
    <w:rsid w:val="009C6FAD"/>
    <w:rsid w:val="009C710D"/>
    <w:rsid w:val="009C73CC"/>
    <w:rsid w:val="009C7C31"/>
    <w:rsid w:val="009D0056"/>
    <w:rsid w:val="009D0547"/>
    <w:rsid w:val="009D0803"/>
    <w:rsid w:val="009D0924"/>
    <w:rsid w:val="009D11FC"/>
    <w:rsid w:val="009D17CE"/>
    <w:rsid w:val="009D23E3"/>
    <w:rsid w:val="009D2C81"/>
    <w:rsid w:val="009D2CEF"/>
    <w:rsid w:val="009D2FF4"/>
    <w:rsid w:val="009D4751"/>
    <w:rsid w:val="009D4AF8"/>
    <w:rsid w:val="009D581F"/>
    <w:rsid w:val="009D5D40"/>
    <w:rsid w:val="009D6B26"/>
    <w:rsid w:val="009D738F"/>
    <w:rsid w:val="009D75A2"/>
    <w:rsid w:val="009D78E0"/>
    <w:rsid w:val="009D7F78"/>
    <w:rsid w:val="009E0020"/>
    <w:rsid w:val="009E0533"/>
    <w:rsid w:val="009E16E8"/>
    <w:rsid w:val="009E1782"/>
    <w:rsid w:val="009E188F"/>
    <w:rsid w:val="009E1AE0"/>
    <w:rsid w:val="009E1EBC"/>
    <w:rsid w:val="009E1FF9"/>
    <w:rsid w:val="009E2063"/>
    <w:rsid w:val="009E2222"/>
    <w:rsid w:val="009E2A4D"/>
    <w:rsid w:val="009E2BDD"/>
    <w:rsid w:val="009E2DAC"/>
    <w:rsid w:val="009E31B0"/>
    <w:rsid w:val="009E34E9"/>
    <w:rsid w:val="009E3985"/>
    <w:rsid w:val="009E3AC8"/>
    <w:rsid w:val="009E470C"/>
    <w:rsid w:val="009E4BA2"/>
    <w:rsid w:val="009E4DE5"/>
    <w:rsid w:val="009E5132"/>
    <w:rsid w:val="009E53B3"/>
    <w:rsid w:val="009E56A7"/>
    <w:rsid w:val="009E5BDE"/>
    <w:rsid w:val="009E60D2"/>
    <w:rsid w:val="009E62E0"/>
    <w:rsid w:val="009E6B25"/>
    <w:rsid w:val="009E759D"/>
    <w:rsid w:val="009E7622"/>
    <w:rsid w:val="009E7DDF"/>
    <w:rsid w:val="009F0260"/>
    <w:rsid w:val="009F08FA"/>
    <w:rsid w:val="009F12DA"/>
    <w:rsid w:val="009F12E9"/>
    <w:rsid w:val="009F188E"/>
    <w:rsid w:val="009F2B36"/>
    <w:rsid w:val="009F3506"/>
    <w:rsid w:val="009F36CA"/>
    <w:rsid w:val="009F381F"/>
    <w:rsid w:val="009F396E"/>
    <w:rsid w:val="009F4035"/>
    <w:rsid w:val="009F4B55"/>
    <w:rsid w:val="009F5D37"/>
    <w:rsid w:val="009F6139"/>
    <w:rsid w:val="009F62D5"/>
    <w:rsid w:val="009F67D3"/>
    <w:rsid w:val="009F68F9"/>
    <w:rsid w:val="009F6998"/>
    <w:rsid w:val="009F6CB4"/>
    <w:rsid w:val="009F701C"/>
    <w:rsid w:val="009F7D65"/>
    <w:rsid w:val="00A0048C"/>
    <w:rsid w:val="00A00D4E"/>
    <w:rsid w:val="00A00F65"/>
    <w:rsid w:val="00A016BD"/>
    <w:rsid w:val="00A017CA"/>
    <w:rsid w:val="00A01831"/>
    <w:rsid w:val="00A01891"/>
    <w:rsid w:val="00A01C38"/>
    <w:rsid w:val="00A01E49"/>
    <w:rsid w:val="00A01F99"/>
    <w:rsid w:val="00A02616"/>
    <w:rsid w:val="00A027F9"/>
    <w:rsid w:val="00A02B95"/>
    <w:rsid w:val="00A02C15"/>
    <w:rsid w:val="00A0317D"/>
    <w:rsid w:val="00A032C7"/>
    <w:rsid w:val="00A035BC"/>
    <w:rsid w:val="00A03D7B"/>
    <w:rsid w:val="00A03FEE"/>
    <w:rsid w:val="00A040FE"/>
    <w:rsid w:val="00A0438C"/>
    <w:rsid w:val="00A044F0"/>
    <w:rsid w:val="00A0547E"/>
    <w:rsid w:val="00A055E3"/>
    <w:rsid w:val="00A05BB8"/>
    <w:rsid w:val="00A05D7D"/>
    <w:rsid w:val="00A065B2"/>
    <w:rsid w:val="00A06F22"/>
    <w:rsid w:val="00A078A2"/>
    <w:rsid w:val="00A07BFE"/>
    <w:rsid w:val="00A10C25"/>
    <w:rsid w:val="00A11242"/>
    <w:rsid w:val="00A11449"/>
    <w:rsid w:val="00A115A6"/>
    <w:rsid w:val="00A116AC"/>
    <w:rsid w:val="00A119B5"/>
    <w:rsid w:val="00A11BC2"/>
    <w:rsid w:val="00A1281C"/>
    <w:rsid w:val="00A129CA"/>
    <w:rsid w:val="00A12A42"/>
    <w:rsid w:val="00A12B98"/>
    <w:rsid w:val="00A12E98"/>
    <w:rsid w:val="00A13301"/>
    <w:rsid w:val="00A1360E"/>
    <w:rsid w:val="00A14153"/>
    <w:rsid w:val="00A14B8B"/>
    <w:rsid w:val="00A15528"/>
    <w:rsid w:val="00A15827"/>
    <w:rsid w:val="00A15AB6"/>
    <w:rsid w:val="00A1642B"/>
    <w:rsid w:val="00A16730"/>
    <w:rsid w:val="00A1769B"/>
    <w:rsid w:val="00A1776D"/>
    <w:rsid w:val="00A17C80"/>
    <w:rsid w:val="00A208B2"/>
    <w:rsid w:val="00A20C14"/>
    <w:rsid w:val="00A20D0E"/>
    <w:rsid w:val="00A20F03"/>
    <w:rsid w:val="00A2114E"/>
    <w:rsid w:val="00A216E1"/>
    <w:rsid w:val="00A21AE1"/>
    <w:rsid w:val="00A22271"/>
    <w:rsid w:val="00A235A6"/>
    <w:rsid w:val="00A236D1"/>
    <w:rsid w:val="00A246E1"/>
    <w:rsid w:val="00A249C6"/>
    <w:rsid w:val="00A24A6C"/>
    <w:rsid w:val="00A25244"/>
    <w:rsid w:val="00A25368"/>
    <w:rsid w:val="00A259EE"/>
    <w:rsid w:val="00A261AF"/>
    <w:rsid w:val="00A26A3A"/>
    <w:rsid w:val="00A26AE9"/>
    <w:rsid w:val="00A276C3"/>
    <w:rsid w:val="00A276CC"/>
    <w:rsid w:val="00A27E4B"/>
    <w:rsid w:val="00A302D0"/>
    <w:rsid w:val="00A305D1"/>
    <w:rsid w:val="00A30916"/>
    <w:rsid w:val="00A31028"/>
    <w:rsid w:val="00A3106F"/>
    <w:rsid w:val="00A3291E"/>
    <w:rsid w:val="00A33425"/>
    <w:rsid w:val="00A334C1"/>
    <w:rsid w:val="00A335B2"/>
    <w:rsid w:val="00A33899"/>
    <w:rsid w:val="00A33A57"/>
    <w:rsid w:val="00A33B29"/>
    <w:rsid w:val="00A33BDF"/>
    <w:rsid w:val="00A34817"/>
    <w:rsid w:val="00A34BCF"/>
    <w:rsid w:val="00A34C14"/>
    <w:rsid w:val="00A34DA4"/>
    <w:rsid w:val="00A35568"/>
    <w:rsid w:val="00A3583D"/>
    <w:rsid w:val="00A35BF7"/>
    <w:rsid w:val="00A35F46"/>
    <w:rsid w:val="00A363B4"/>
    <w:rsid w:val="00A365DF"/>
    <w:rsid w:val="00A36BAB"/>
    <w:rsid w:val="00A36D02"/>
    <w:rsid w:val="00A36DC8"/>
    <w:rsid w:val="00A3708F"/>
    <w:rsid w:val="00A400A2"/>
    <w:rsid w:val="00A40532"/>
    <w:rsid w:val="00A406F6"/>
    <w:rsid w:val="00A40F7F"/>
    <w:rsid w:val="00A41762"/>
    <w:rsid w:val="00A41B6C"/>
    <w:rsid w:val="00A422D4"/>
    <w:rsid w:val="00A4268C"/>
    <w:rsid w:val="00A42A63"/>
    <w:rsid w:val="00A42B13"/>
    <w:rsid w:val="00A42E54"/>
    <w:rsid w:val="00A43139"/>
    <w:rsid w:val="00A43578"/>
    <w:rsid w:val="00A43955"/>
    <w:rsid w:val="00A44AD3"/>
    <w:rsid w:val="00A44CC2"/>
    <w:rsid w:val="00A45004"/>
    <w:rsid w:val="00A461E6"/>
    <w:rsid w:val="00A46BB2"/>
    <w:rsid w:val="00A47818"/>
    <w:rsid w:val="00A50151"/>
    <w:rsid w:val="00A50ACD"/>
    <w:rsid w:val="00A51570"/>
    <w:rsid w:val="00A51714"/>
    <w:rsid w:val="00A519F9"/>
    <w:rsid w:val="00A51A38"/>
    <w:rsid w:val="00A52C1B"/>
    <w:rsid w:val="00A5394E"/>
    <w:rsid w:val="00A539C6"/>
    <w:rsid w:val="00A54229"/>
    <w:rsid w:val="00A54303"/>
    <w:rsid w:val="00A5605B"/>
    <w:rsid w:val="00A566DA"/>
    <w:rsid w:val="00A57133"/>
    <w:rsid w:val="00A57140"/>
    <w:rsid w:val="00A575BD"/>
    <w:rsid w:val="00A57B4A"/>
    <w:rsid w:val="00A57C80"/>
    <w:rsid w:val="00A57E95"/>
    <w:rsid w:val="00A57F29"/>
    <w:rsid w:val="00A60DBB"/>
    <w:rsid w:val="00A61A00"/>
    <w:rsid w:val="00A61C33"/>
    <w:rsid w:val="00A61D47"/>
    <w:rsid w:val="00A62A83"/>
    <w:rsid w:val="00A62E5D"/>
    <w:rsid w:val="00A634A0"/>
    <w:rsid w:val="00A63E62"/>
    <w:rsid w:val="00A63EDA"/>
    <w:rsid w:val="00A645E0"/>
    <w:rsid w:val="00A65C12"/>
    <w:rsid w:val="00A65C42"/>
    <w:rsid w:val="00A65D4C"/>
    <w:rsid w:val="00A65FA9"/>
    <w:rsid w:val="00A673AC"/>
    <w:rsid w:val="00A674DE"/>
    <w:rsid w:val="00A67777"/>
    <w:rsid w:val="00A70B58"/>
    <w:rsid w:val="00A70D05"/>
    <w:rsid w:val="00A71E01"/>
    <w:rsid w:val="00A72488"/>
    <w:rsid w:val="00A725A0"/>
    <w:rsid w:val="00A73094"/>
    <w:rsid w:val="00A73117"/>
    <w:rsid w:val="00A731B9"/>
    <w:rsid w:val="00A73CA9"/>
    <w:rsid w:val="00A73F9E"/>
    <w:rsid w:val="00A73FAC"/>
    <w:rsid w:val="00A74BCB"/>
    <w:rsid w:val="00A7558D"/>
    <w:rsid w:val="00A75FAE"/>
    <w:rsid w:val="00A7619C"/>
    <w:rsid w:val="00A762C3"/>
    <w:rsid w:val="00A76B77"/>
    <w:rsid w:val="00A76F93"/>
    <w:rsid w:val="00A7704E"/>
    <w:rsid w:val="00A7768D"/>
    <w:rsid w:val="00A77922"/>
    <w:rsid w:val="00A800BB"/>
    <w:rsid w:val="00A803C6"/>
    <w:rsid w:val="00A8070A"/>
    <w:rsid w:val="00A808E6"/>
    <w:rsid w:val="00A81187"/>
    <w:rsid w:val="00A81AD8"/>
    <w:rsid w:val="00A81F12"/>
    <w:rsid w:val="00A82E0F"/>
    <w:rsid w:val="00A82F66"/>
    <w:rsid w:val="00A832B2"/>
    <w:rsid w:val="00A83528"/>
    <w:rsid w:val="00A835DF"/>
    <w:rsid w:val="00A845EC"/>
    <w:rsid w:val="00A8597B"/>
    <w:rsid w:val="00A85F0A"/>
    <w:rsid w:val="00A867BC"/>
    <w:rsid w:val="00A86946"/>
    <w:rsid w:val="00A869C7"/>
    <w:rsid w:val="00A86EF6"/>
    <w:rsid w:val="00A87704"/>
    <w:rsid w:val="00A87BAA"/>
    <w:rsid w:val="00A90C17"/>
    <w:rsid w:val="00A90EB8"/>
    <w:rsid w:val="00A911C9"/>
    <w:rsid w:val="00A91287"/>
    <w:rsid w:val="00A91D93"/>
    <w:rsid w:val="00A9283A"/>
    <w:rsid w:val="00A92875"/>
    <w:rsid w:val="00A92AF1"/>
    <w:rsid w:val="00A9340D"/>
    <w:rsid w:val="00A93A5C"/>
    <w:rsid w:val="00A93B24"/>
    <w:rsid w:val="00A960AA"/>
    <w:rsid w:val="00A96E28"/>
    <w:rsid w:val="00A971A6"/>
    <w:rsid w:val="00A973F8"/>
    <w:rsid w:val="00A97DFA"/>
    <w:rsid w:val="00AA020E"/>
    <w:rsid w:val="00AA0EF8"/>
    <w:rsid w:val="00AA1138"/>
    <w:rsid w:val="00AA2A14"/>
    <w:rsid w:val="00AA2EAF"/>
    <w:rsid w:val="00AA3CFB"/>
    <w:rsid w:val="00AA4C0B"/>
    <w:rsid w:val="00AA4DC5"/>
    <w:rsid w:val="00AA4FF1"/>
    <w:rsid w:val="00AA5619"/>
    <w:rsid w:val="00AA5646"/>
    <w:rsid w:val="00AA5738"/>
    <w:rsid w:val="00AA5BA7"/>
    <w:rsid w:val="00AA632F"/>
    <w:rsid w:val="00AA6552"/>
    <w:rsid w:val="00AA66AA"/>
    <w:rsid w:val="00AA6E69"/>
    <w:rsid w:val="00AA717C"/>
    <w:rsid w:val="00AA73D4"/>
    <w:rsid w:val="00AA74E0"/>
    <w:rsid w:val="00AA7A0F"/>
    <w:rsid w:val="00AB1617"/>
    <w:rsid w:val="00AB1A1A"/>
    <w:rsid w:val="00AB1FE0"/>
    <w:rsid w:val="00AB2E83"/>
    <w:rsid w:val="00AB2E95"/>
    <w:rsid w:val="00AB3181"/>
    <w:rsid w:val="00AB31D0"/>
    <w:rsid w:val="00AB33F0"/>
    <w:rsid w:val="00AB3416"/>
    <w:rsid w:val="00AB34A5"/>
    <w:rsid w:val="00AB3A1B"/>
    <w:rsid w:val="00AB3CEB"/>
    <w:rsid w:val="00AB405D"/>
    <w:rsid w:val="00AB490F"/>
    <w:rsid w:val="00AB4EEB"/>
    <w:rsid w:val="00AB582F"/>
    <w:rsid w:val="00AB5D23"/>
    <w:rsid w:val="00AB6055"/>
    <w:rsid w:val="00AB610A"/>
    <w:rsid w:val="00AB64D0"/>
    <w:rsid w:val="00AB74D2"/>
    <w:rsid w:val="00AB7BF6"/>
    <w:rsid w:val="00AC0682"/>
    <w:rsid w:val="00AC0A30"/>
    <w:rsid w:val="00AC1123"/>
    <w:rsid w:val="00AC1407"/>
    <w:rsid w:val="00AC140A"/>
    <w:rsid w:val="00AC1A17"/>
    <w:rsid w:val="00AC1AC0"/>
    <w:rsid w:val="00AC1B53"/>
    <w:rsid w:val="00AC1BAB"/>
    <w:rsid w:val="00AC1D94"/>
    <w:rsid w:val="00AC2701"/>
    <w:rsid w:val="00AC37E8"/>
    <w:rsid w:val="00AC5166"/>
    <w:rsid w:val="00AC5337"/>
    <w:rsid w:val="00AC58BC"/>
    <w:rsid w:val="00AC6119"/>
    <w:rsid w:val="00AC618C"/>
    <w:rsid w:val="00AC6490"/>
    <w:rsid w:val="00AC66AA"/>
    <w:rsid w:val="00AC67B6"/>
    <w:rsid w:val="00AC732D"/>
    <w:rsid w:val="00AC73B4"/>
    <w:rsid w:val="00AD04DD"/>
    <w:rsid w:val="00AD050E"/>
    <w:rsid w:val="00AD06FA"/>
    <w:rsid w:val="00AD20D9"/>
    <w:rsid w:val="00AD30A9"/>
    <w:rsid w:val="00AD3CA2"/>
    <w:rsid w:val="00AD4512"/>
    <w:rsid w:val="00AD463D"/>
    <w:rsid w:val="00AD48DC"/>
    <w:rsid w:val="00AD50C6"/>
    <w:rsid w:val="00AD50E2"/>
    <w:rsid w:val="00AD5EA9"/>
    <w:rsid w:val="00AD678D"/>
    <w:rsid w:val="00AD68E0"/>
    <w:rsid w:val="00AD6A14"/>
    <w:rsid w:val="00AD6D06"/>
    <w:rsid w:val="00AD7246"/>
    <w:rsid w:val="00AD7F24"/>
    <w:rsid w:val="00AE0268"/>
    <w:rsid w:val="00AE06FC"/>
    <w:rsid w:val="00AE19C0"/>
    <w:rsid w:val="00AE1A61"/>
    <w:rsid w:val="00AE1D11"/>
    <w:rsid w:val="00AE295D"/>
    <w:rsid w:val="00AE2ED1"/>
    <w:rsid w:val="00AE3017"/>
    <w:rsid w:val="00AE37C7"/>
    <w:rsid w:val="00AE3F89"/>
    <w:rsid w:val="00AE56E6"/>
    <w:rsid w:val="00AE594D"/>
    <w:rsid w:val="00AE64AD"/>
    <w:rsid w:val="00AE6742"/>
    <w:rsid w:val="00AE697A"/>
    <w:rsid w:val="00AE7019"/>
    <w:rsid w:val="00AE70F4"/>
    <w:rsid w:val="00AE7E35"/>
    <w:rsid w:val="00AF2A63"/>
    <w:rsid w:val="00AF2A94"/>
    <w:rsid w:val="00AF3184"/>
    <w:rsid w:val="00AF326A"/>
    <w:rsid w:val="00AF3E05"/>
    <w:rsid w:val="00AF4BEC"/>
    <w:rsid w:val="00AF4DE6"/>
    <w:rsid w:val="00AF50F1"/>
    <w:rsid w:val="00AF5139"/>
    <w:rsid w:val="00AF5F0D"/>
    <w:rsid w:val="00AF6480"/>
    <w:rsid w:val="00AF6643"/>
    <w:rsid w:val="00AF677B"/>
    <w:rsid w:val="00AF73E6"/>
    <w:rsid w:val="00AF75E1"/>
    <w:rsid w:val="00B0082E"/>
    <w:rsid w:val="00B01005"/>
    <w:rsid w:val="00B0159B"/>
    <w:rsid w:val="00B016FD"/>
    <w:rsid w:val="00B0272C"/>
    <w:rsid w:val="00B027F0"/>
    <w:rsid w:val="00B031D3"/>
    <w:rsid w:val="00B03C5C"/>
    <w:rsid w:val="00B045DA"/>
    <w:rsid w:val="00B048D7"/>
    <w:rsid w:val="00B05440"/>
    <w:rsid w:val="00B06295"/>
    <w:rsid w:val="00B06361"/>
    <w:rsid w:val="00B0697D"/>
    <w:rsid w:val="00B06AD9"/>
    <w:rsid w:val="00B06CA5"/>
    <w:rsid w:val="00B07323"/>
    <w:rsid w:val="00B076D3"/>
    <w:rsid w:val="00B07789"/>
    <w:rsid w:val="00B079F0"/>
    <w:rsid w:val="00B10511"/>
    <w:rsid w:val="00B10712"/>
    <w:rsid w:val="00B108D9"/>
    <w:rsid w:val="00B10F54"/>
    <w:rsid w:val="00B11BAD"/>
    <w:rsid w:val="00B11E33"/>
    <w:rsid w:val="00B123DA"/>
    <w:rsid w:val="00B12903"/>
    <w:rsid w:val="00B136A6"/>
    <w:rsid w:val="00B13F82"/>
    <w:rsid w:val="00B14B30"/>
    <w:rsid w:val="00B14D2C"/>
    <w:rsid w:val="00B1637D"/>
    <w:rsid w:val="00B17432"/>
    <w:rsid w:val="00B1796F"/>
    <w:rsid w:val="00B17F88"/>
    <w:rsid w:val="00B20229"/>
    <w:rsid w:val="00B20AA7"/>
    <w:rsid w:val="00B20FFF"/>
    <w:rsid w:val="00B21D0A"/>
    <w:rsid w:val="00B21EFD"/>
    <w:rsid w:val="00B221BC"/>
    <w:rsid w:val="00B226CD"/>
    <w:rsid w:val="00B22A5E"/>
    <w:rsid w:val="00B22C5E"/>
    <w:rsid w:val="00B22CD7"/>
    <w:rsid w:val="00B23920"/>
    <w:rsid w:val="00B23AE1"/>
    <w:rsid w:val="00B23FC4"/>
    <w:rsid w:val="00B24C01"/>
    <w:rsid w:val="00B24FEC"/>
    <w:rsid w:val="00B25BBF"/>
    <w:rsid w:val="00B25E14"/>
    <w:rsid w:val="00B25F50"/>
    <w:rsid w:val="00B26059"/>
    <w:rsid w:val="00B266F6"/>
    <w:rsid w:val="00B26B73"/>
    <w:rsid w:val="00B26ED2"/>
    <w:rsid w:val="00B270F4"/>
    <w:rsid w:val="00B27279"/>
    <w:rsid w:val="00B2739D"/>
    <w:rsid w:val="00B274B7"/>
    <w:rsid w:val="00B30498"/>
    <w:rsid w:val="00B30868"/>
    <w:rsid w:val="00B30933"/>
    <w:rsid w:val="00B30AB9"/>
    <w:rsid w:val="00B312B3"/>
    <w:rsid w:val="00B31893"/>
    <w:rsid w:val="00B31E55"/>
    <w:rsid w:val="00B3212F"/>
    <w:rsid w:val="00B3216C"/>
    <w:rsid w:val="00B32548"/>
    <w:rsid w:val="00B32912"/>
    <w:rsid w:val="00B3319F"/>
    <w:rsid w:val="00B3385F"/>
    <w:rsid w:val="00B338BB"/>
    <w:rsid w:val="00B3395D"/>
    <w:rsid w:val="00B3432E"/>
    <w:rsid w:val="00B34CF7"/>
    <w:rsid w:val="00B350D9"/>
    <w:rsid w:val="00B35427"/>
    <w:rsid w:val="00B35482"/>
    <w:rsid w:val="00B35BE7"/>
    <w:rsid w:val="00B3665C"/>
    <w:rsid w:val="00B36C28"/>
    <w:rsid w:val="00B37747"/>
    <w:rsid w:val="00B4030C"/>
    <w:rsid w:val="00B404C5"/>
    <w:rsid w:val="00B41052"/>
    <w:rsid w:val="00B410D7"/>
    <w:rsid w:val="00B41A28"/>
    <w:rsid w:val="00B41C11"/>
    <w:rsid w:val="00B4208A"/>
    <w:rsid w:val="00B42532"/>
    <w:rsid w:val="00B42E13"/>
    <w:rsid w:val="00B441D6"/>
    <w:rsid w:val="00B44D2C"/>
    <w:rsid w:val="00B45205"/>
    <w:rsid w:val="00B4581B"/>
    <w:rsid w:val="00B45EC0"/>
    <w:rsid w:val="00B46F9D"/>
    <w:rsid w:val="00B4794B"/>
    <w:rsid w:val="00B47FC6"/>
    <w:rsid w:val="00B5080E"/>
    <w:rsid w:val="00B50AA9"/>
    <w:rsid w:val="00B5127C"/>
    <w:rsid w:val="00B513D9"/>
    <w:rsid w:val="00B5157F"/>
    <w:rsid w:val="00B515B6"/>
    <w:rsid w:val="00B51779"/>
    <w:rsid w:val="00B51A2E"/>
    <w:rsid w:val="00B51DCD"/>
    <w:rsid w:val="00B52005"/>
    <w:rsid w:val="00B52C7E"/>
    <w:rsid w:val="00B53C3E"/>
    <w:rsid w:val="00B5405E"/>
    <w:rsid w:val="00B54302"/>
    <w:rsid w:val="00B54EDD"/>
    <w:rsid w:val="00B551C3"/>
    <w:rsid w:val="00B55452"/>
    <w:rsid w:val="00B556BA"/>
    <w:rsid w:val="00B5632B"/>
    <w:rsid w:val="00B569C1"/>
    <w:rsid w:val="00B5715E"/>
    <w:rsid w:val="00B57938"/>
    <w:rsid w:val="00B60099"/>
    <w:rsid w:val="00B604BD"/>
    <w:rsid w:val="00B610BE"/>
    <w:rsid w:val="00B61833"/>
    <w:rsid w:val="00B618D2"/>
    <w:rsid w:val="00B61BB7"/>
    <w:rsid w:val="00B62100"/>
    <w:rsid w:val="00B62A06"/>
    <w:rsid w:val="00B62EAA"/>
    <w:rsid w:val="00B63140"/>
    <w:rsid w:val="00B6373A"/>
    <w:rsid w:val="00B63ED1"/>
    <w:rsid w:val="00B6475E"/>
    <w:rsid w:val="00B64CCB"/>
    <w:rsid w:val="00B64DA1"/>
    <w:rsid w:val="00B64EAE"/>
    <w:rsid w:val="00B65BB5"/>
    <w:rsid w:val="00B65DDA"/>
    <w:rsid w:val="00B664BB"/>
    <w:rsid w:val="00B66550"/>
    <w:rsid w:val="00B6671E"/>
    <w:rsid w:val="00B6738A"/>
    <w:rsid w:val="00B70586"/>
    <w:rsid w:val="00B7182B"/>
    <w:rsid w:val="00B71FE3"/>
    <w:rsid w:val="00B72989"/>
    <w:rsid w:val="00B73E83"/>
    <w:rsid w:val="00B744C3"/>
    <w:rsid w:val="00B749D2"/>
    <w:rsid w:val="00B7521A"/>
    <w:rsid w:val="00B752CC"/>
    <w:rsid w:val="00B7560D"/>
    <w:rsid w:val="00B76193"/>
    <w:rsid w:val="00B7639C"/>
    <w:rsid w:val="00B765FE"/>
    <w:rsid w:val="00B76AAD"/>
    <w:rsid w:val="00B7708A"/>
    <w:rsid w:val="00B77C85"/>
    <w:rsid w:val="00B77CEA"/>
    <w:rsid w:val="00B8088E"/>
    <w:rsid w:val="00B808EA"/>
    <w:rsid w:val="00B819D7"/>
    <w:rsid w:val="00B81BC7"/>
    <w:rsid w:val="00B81BED"/>
    <w:rsid w:val="00B81DC5"/>
    <w:rsid w:val="00B821E9"/>
    <w:rsid w:val="00B822EC"/>
    <w:rsid w:val="00B824AB"/>
    <w:rsid w:val="00B824F8"/>
    <w:rsid w:val="00B82D13"/>
    <w:rsid w:val="00B838AF"/>
    <w:rsid w:val="00B8397B"/>
    <w:rsid w:val="00B83C9E"/>
    <w:rsid w:val="00B83DF0"/>
    <w:rsid w:val="00B84FFA"/>
    <w:rsid w:val="00B8579E"/>
    <w:rsid w:val="00B85B38"/>
    <w:rsid w:val="00B85B7E"/>
    <w:rsid w:val="00B869F0"/>
    <w:rsid w:val="00B86A0C"/>
    <w:rsid w:val="00B86ABE"/>
    <w:rsid w:val="00B86C6B"/>
    <w:rsid w:val="00B87300"/>
    <w:rsid w:val="00B875AC"/>
    <w:rsid w:val="00B875F6"/>
    <w:rsid w:val="00B876C6"/>
    <w:rsid w:val="00B879D5"/>
    <w:rsid w:val="00B87FAE"/>
    <w:rsid w:val="00B91071"/>
    <w:rsid w:val="00B91355"/>
    <w:rsid w:val="00B91A46"/>
    <w:rsid w:val="00B91FD0"/>
    <w:rsid w:val="00B92171"/>
    <w:rsid w:val="00B9255A"/>
    <w:rsid w:val="00B92D95"/>
    <w:rsid w:val="00B92FCB"/>
    <w:rsid w:val="00B944C9"/>
    <w:rsid w:val="00B94FE2"/>
    <w:rsid w:val="00B9588E"/>
    <w:rsid w:val="00B95C05"/>
    <w:rsid w:val="00B96B48"/>
    <w:rsid w:val="00B97168"/>
    <w:rsid w:val="00B97659"/>
    <w:rsid w:val="00B9789C"/>
    <w:rsid w:val="00B97A34"/>
    <w:rsid w:val="00B97C9F"/>
    <w:rsid w:val="00BA0062"/>
    <w:rsid w:val="00BA0CC4"/>
    <w:rsid w:val="00BA0CE0"/>
    <w:rsid w:val="00BA0D8F"/>
    <w:rsid w:val="00BA1151"/>
    <w:rsid w:val="00BA11CE"/>
    <w:rsid w:val="00BA1A6A"/>
    <w:rsid w:val="00BA1AE5"/>
    <w:rsid w:val="00BA1B8D"/>
    <w:rsid w:val="00BA1F53"/>
    <w:rsid w:val="00BA2537"/>
    <w:rsid w:val="00BA28D1"/>
    <w:rsid w:val="00BA3488"/>
    <w:rsid w:val="00BA390F"/>
    <w:rsid w:val="00BA4A46"/>
    <w:rsid w:val="00BA56A8"/>
    <w:rsid w:val="00BA5E30"/>
    <w:rsid w:val="00BA60EC"/>
    <w:rsid w:val="00BA677B"/>
    <w:rsid w:val="00BA7E96"/>
    <w:rsid w:val="00BB03BF"/>
    <w:rsid w:val="00BB06DF"/>
    <w:rsid w:val="00BB0EC8"/>
    <w:rsid w:val="00BB0F00"/>
    <w:rsid w:val="00BB1231"/>
    <w:rsid w:val="00BB16EC"/>
    <w:rsid w:val="00BB1737"/>
    <w:rsid w:val="00BB1F52"/>
    <w:rsid w:val="00BB28A1"/>
    <w:rsid w:val="00BB2C9D"/>
    <w:rsid w:val="00BB3739"/>
    <w:rsid w:val="00BB4249"/>
    <w:rsid w:val="00BB42FA"/>
    <w:rsid w:val="00BB474D"/>
    <w:rsid w:val="00BB4897"/>
    <w:rsid w:val="00BB5125"/>
    <w:rsid w:val="00BB65E9"/>
    <w:rsid w:val="00BB6821"/>
    <w:rsid w:val="00BB6B19"/>
    <w:rsid w:val="00BB7887"/>
    <w:rsid w:val="00BB7A2A"/>
    <w:rsid w:val="00BC0044"/>
    <w:rsid w:val="00BC069A"/>
    <w:rsid w:val="00BC0AB9"/>
    <w:rsid w:val="00BC118E"/>
    <w:rsid w:val="00BC133B"/>
    <w:rsid w:val="00BC1CA2"/>
    <w:rsid w:val="00BC2644"/>
    <w:rsid w:val="00BC276C"/>
    <w:rsid w:val="00BC281E"/>
    <w:rsid w:val="00BC30C7"/>
    <w:rsid w:val="00BC30FB"/>
    <w:rsid w:val="00BC37B6"/>
    <w:rsid w:val="00BC3BB4"/>
    <w:rsid w:val="00BC48D6"/>
    <w:rsid w:val="00BC4903"/>
    <w:rsid w:val="00BC4C1D"/>
    <w:rsid w:val="00BC4E09"/>
    <w:rsid w:val="00BC4F3E"/>
    <w:rsid w:val="00BC510F"/>
    <w:rsid w:val="00BC54C6"/>
    <w:rsid w:val="00BC578E"/>
    <w:rsid w:val="00BC5F6F"/>
    <w:rsid w:val="00BC6470"/>
    <w:rsid w:val="00BC6EDA"/>
    <w:rsid w:val="00BC750D"/>
    <w:rsid w:val="00BD050F"/>
    <w:rsid w:val="00BD07D2"/>
    <w:rsid w:val="00BD08BC"/>
    <w:rsid w:val="00BD0908"/>
    <w:rsid w:val="00BD0DF2"/>
    <w:rsid w:val="00BD1146"/>
    <w:rsid w:val="00BD11AB"/>
    <w:rsid w:val="00BD12B3"/>
    <w:rsid w:val="00BD14FE"/>
    <w:rsid w:val="00BD202A"/>
    <w:rsid w:val="00BD2577"/>
    <w:rsid w:val="00BD267F"/>
    <w:rsid w:val="00BD2D81"/>
    <w:rsid w:val="00BD308C"/>
    <w:rsid w:val="00BD35F0"/>
    <w:rsid w:val="00BD3808"/>
    <w:rsid w:val="00BD446F"/>
    <w:rsid w:val="00BD4771"/>
    <w:rsid w:val="00BD4E65"/>
    <w:rsid w:val="00BD52EA"/>
    <w:rsid w:val="00BD5DA1"/>
    <w:rsid w:val="00BD637A"/>
    <w:rsid w:val="00BD6449"/>
    <w:rsid w:val="00BD6482"/>
    <w:rsid w:val="00BD6A0A"/>
    <w:rsid w:val="00BD71E1"/>
    <w:rsid w:val="00BD7D6E"/>
    <w:rsid w:val="00BD7E5F"/>
    <w:rsid w:val="00BE01C6"/>
    <w:rsid w:val="00BE0461"/>
    <w:rsid w:val="00BE1599"/>
    <w:rsid w:val="00BE1F6A"/>
    <w:rsid w:val="00BE2855"/>
    <w:rsid w:val="00BE3555"/>
    <w:rsid w:val="00BE386A"/>
    <w:rsid w:val="00BE3FB9"/>
    <w:rsid w:val="00BE4131"/>
    <w:rsid w:val="00BE4236"/>
    <w:rsid w:val="00BE4E69"/>
    <w:rsid w:val="00BE5284"/>
    <w:rsid w:val="00BE53E8"/>
    <w:rsid w:val="00BE5B7A"/>
    <w:rsid w:val="00BE5EB2"/>
    <w:rsid w:val="00BE5F3E"/>
    <w:rsid w:val="00BE61C3"/>
    <w:rsid w:val="00BE6422"/>
    <w:rsid w:val="00BE73E3"/>
    <w:rsid w:val="00BE762E"/>
    <w:rsid w:val="00BE7E80"/>
    <w:rsid w:val="00BE7EB9"/>
    <w:rsid w:val="00BF0A87"/>
    <w:rsid w:val="00BF15B5"/>
    <w:rsid w:val="00BF1CC8"/>
    <w:rsid w:val="00BF1EF7"/>
    <w:rsid w:val="00BF2088"/>
    <w:rsid w:val="00BF20D2"/>
    <w:rsid w:val="00BF2648"/>
    <w:rsid w:val="00BF2776"/>
    <w:rsid w:val="00BF29A0"/>
    <w:rsid w:val="00BF2D4D"/>
    <w:rsid w:val="00BF34A9"/>
    <w:rsid w:val="00BF3F1B"/>
    <w:rsid w:val="00BF40E4"/>
    <w:rsid w:val="00BF45FC"/>
    <w:rsid w:val="00BF47A4"/>
    <w:rsid w:val="00BF54BE"/>
    <w:rsid w:val="00BF55F9"/>
    <w:rsid w:val="00BF5648"/>
    <w:rsid w:val="00BF5713"/>
    <w:rsid w:val="00BF5BFB"/>
    <w:rsid w:val="00BF5D60"/>
    <w:rsid w:val="00BF650A"/>
    <w:rsid w:val="00BF689E"/>
    <w:rsid w:val="00BF7014"/>
    <w:rsid w:val="00BF7D2D"/>
    <w:rsid w:val="00C00162"/>
    <w:rsid w:val="00C00575"/>
    <w:rsid w:val="00C00663"/>
    <w:rsid w:val="00C00BBF"/>
    <w:rsid w:val="00C018F0"/>
    <w:rsid w:val="00C01A56"/>
    <w:rsid w:val="00C01E31"/>
    <w:rsid w:val="00C032B3"/>
    <w:rsid w:val="00C03936"/>
    <w:rsid w:val="00C04935"/>
    <w:rsid w:val="00C053FE"/>
    <w:rsid w:val="00C05631"/>
    <w:rsid w:val="00C05725"/>
    <w:rsid w:val="00C05AB5"/>
    <w:rsid w:val="00C062C8"/>
    <w:rsid w:val="00C06BA3"/>
    <w:rsid w:val="00C06F3B"/>
    <w:rsid w:val="00C070E3"/>
    <w:rsid w:val="00C0744A"/>
    <w:rsid w:val="00C07A15"/>
    <w:rsid w:val="00C07C83"/>
    <w:rsid w:val="00C07E7D"/>
    <w:rsid w:val="00C106CF"/>
    <w:rsid w:val="00C109FF"/>
    <w:rsid w:val="00C125DB"/>
    <w:rsid w:val="00C127F6"/>
    <w:rsid w:val="00C128C8"/>
    <w:rsid w:val="00C12A96"/>
    <w:rsid w:val="00C1300A"/>
    <w:rsid w:val="00C13201"/>
    <w:rsid w:val="00C137B5"/>
    <w:rsid w:val="00C13CF1"/>
    <w:rsid w:val="00C14177"/>
    <w:rsid w:val="00C141EA"/>
    <w:rsid w:val="00C1506E"/>
    <w:rsid w:val="00C1524D"/>
    <w:rsid w:val="00C15390"/>
    <w:rsid w:val="00C1621F"/>
    <w:rsid w:val="00C164F1"/>
    <w:rsid w:val="00C1650D"/>
    <w:rsid w:val="00C16547"/>
    <w:rsid w:val="00C174D3"/>
    <w:rsid w:val="00C17CC7"/>
    <w:rsid w:val="00C20109"/>
    <w:rsid w:val="00C20ABF"/>
    <w:rsid w:val="00C21414"/>
    <w:rsid w:val="00C2220A"/>
    <w:rsid w:val="00C224D1"/>
    <w:rsid w:val="00C22A28"/>
    <w:rsid w:val="00C22B1C"/>
    <w:rsid w:val="00C22B61"/>
    <w:rsid w:val="00C22B90"/>
    <w:rsid w:val="00C22FD3"/>
    <w:rsid w:val="00C232C6"/>
    <w:rsid w:val="00C24331"/>
    <w:rsid w:val="00C24456"/>
    <w:rsid w:val="00C2483A"/>
    <w:rsid w:val="00C24946"/>
    <w:rsid w:val="00C24B8B"/>
    <w:rsid w:val="00C24EE4"/>
    <w:rsid w:val="00C25281"/>
    <w:rsid w:val="00C25945"/>
    <w:rsid w:val="00C26626"/>
    <w:rsid w:val="00C26896"/>
    <w:rsid w:val="00C26957"/>
    <w:rsid w:val="00C26B97"/>
    <w:rsid w:val="00C26F26"/>
    <w:rsid w:val="00C278A8"/>
    <w:rsid w:val="00C27B9D"/>
    <w:rsid w:val="00C303B9"/>
    <w:rsid w:val="00C30776"/>
    <w:rsid w:val="00C30AA5"/>
    <w:rsid w:val="00C30F9B"/>
    <w:rsid w:val="00C311F2"/>
    <w:rsid w:val="00C31244"/>
    <w:rsid w:val="00C313CF"/>
    <w:rsid w:val="00C31892"/>
    <w:rsid w:val="00C31B33"/>
    <w:rsid w:val="00C32886"/>
    <w:rsid w:val="00C32BA9"/>
    <w:rsid w:val="00C32F1A"/>
    <w:rsid w:val="00C335F3"/>
    <w:rsid w:val="00C33A5F"/>
    <w:rsid w:val="00C33EF0"/>
    <w:rsid w:val="00C34BD0"/>
    <w:rsid w:val="00C35B14"/>
    <w:rsid w:val="00C35F8B"/>
    <w:rsid w:val="00C3761E"/>
    <w:rsid w:val="00C37940"/>
    <w:rsid w:val="00C40231"/>
    <w:rsid w:val="00C406AD"/>
    <w:rsid w:val="00C406ED"/>
    <w:rsid w:val="00C40784"/>
    <w:rsid w:val="00C40850"/>
    <w:rsid w:val="00C40ACC"/>
    <w:rsid w:val="00C40D68"/>
    <w:rsid w:val="00C418FD"/>
    <w:rsid w:val="00C4310D"/>
    <w:rsid w:val="00C43214"/>
    <w:rsid w:val="00C43741"/>
    <w:rsid w:val="00C4380B"/>
    <w:rsid w:val="00C43AFD"/>
    <w:rsid w:val="00C44326"/>
    <w:rsid w:val="00C444FE"/>
    <w:rsid w:val="00C445BB"/>
    <w:rsid w:val="00C44AF6"/>
    <w:rsid w:val="00C44B59"/>
    <w:rsid w:val="00C44E9C"/>
    <w:rsid w:val="00C45B2D"/>
    <w:rsid w:val="00C45E16"/>
    <w:rsid w:val="00C45E3D"/>
    <w:rsid w:val="00C46074"/>
    <w:rsid w:val="00C46615"/>
    <w:rsid w:val="00C472FA"/>
    <w:rsid w:val="00C47378"/>
    <w:rsid w:val="00C47950"/>
    <w:rsid w:val="00C50CBB"/>
    <w:rsid w:val="00C50CDF"/>
    <w:rsid w:val="00C50E34"/>
    <w:rsid w:val="00C50EC7"/>
    <w:rsid w:val="00C51100"/>
    <w:rsid w:val="00C511FD"/>
    <w:rsid w:val="00C515D4"/>
    <w:rsid w:val="00C51860"/>
    <w:rsid w:val="00C5271A"/>
    <w:rsid w:val="00C54321"/>
    <w:rsid w:val="00C54A3B"/>
    <w:rsid w:val="00C54B32"/>
    <w:rsid w:val="00C558F8"/>
    <w:rsid w:val="00C57053"/>
    <w:rsid w:val="00C57A9F"/>
    <w:rsid w:val="00C57EAB"/>
    <w:rsid w:val="00C60D8F"/>
    <w:rsid w:val="00C614D5"/>
    <w:rsid w:val="00C620A5"/>
    <w:rsid w:val="00C62204"/>
    <w:rsid w:val="00C6239C"/>
    <w:rsid w:val="00C62FA3"/>
    <w:rsid w:val="00C63D6E"/>
    <w:rsid w:val="00C64630"/>
    <w:rsid w:val="00C64C7C"/>
    <w:rsid w:val="00C655DB"/>
    <w:rsid w:val="00C65D50"/>
    <w:rsid w:val="00C65D9B"/>
    <w:rsid w:val="00C65EF2"/>
    <w:rsid w:val="00C6607E"/>
    <w:rsid w:val="00C661C4"/>
    <w:rsid w:val="00C67181"/>
    <w:rsid w:val="00C67534"/>
    <w:rsid w:val="00C67C5A"/>
    <w:rsid w:val="00C70039"/>
    <w:rsid w:val="00C70E9E"/>
    <w:rsid w:val="00C71047"/>
    <w:rsid w:val="00C71CCF"/>
    <w:rsid w:val="00C72A36"/>
    <w:rsid w:val="00C72CFB"/>
    <w:rsid w:val="00C734BE"/>
    <w:rsid w:val="00C7360C"/>
    <w:rsid w:val="00C741EF"/>
    <w:rsid w:val="00C74233"/>
    <w:rsid w:val="00C742C0"/>
    <w:rsid w:val="00C742ED"/>
    <w:rsid w:val="00C74474"/>
    <w:rsid w:val="00C74634"/>
    <w:rsid w:val="00C74866"/>
    <w:rsid w:val="00C748F2"/>
    <w:rsid w:val="00C74E4A"/>
    <w:rsid w:val="00C7518A"/>
    <w:rsid w:val="00C76197"/>
    <w:rsid w:val="00C763A3"/>
    <w:rsid w:val="00C7658D"/>
    <w:rsid w:val="00C7665C"/>
    <w:rsid w:val="00C76B4C"/>
    <w:rsid w:val="00C77DFB"/>
    <w:rsid w:val="00C800E7"/>
    <w:rsid w:val="00C80310"/>
    <w:rsid w:val="00C81A75"/>
    <w:rsid w:val="00C82017"/>
    <w:rsid w:val="00C82651"/>
    <w:rsid w:val="00C8266C"/>
    <w:rsid w:val="00C8313F"/>
    <w:rsid w:val="00C836A6"/>
    <w:rsid w:val="00C839F2"/>
    <w:rsid w:val="00C8441E"/>
    <w:rsid w:val="00C84D01"/>
    <w:rsid w:val="00C8501F"/>
    <w:rsid w:val="00C8534A"/>
    <w:rsid w:val="00C8586B"/>
    <w:rsid w:val="00C85AAD"/>
    <w:rsid w:val="00C8605D"/>
    <w:rsid w:val="00C86111"/>
    <w:rsid w:val="00C86532"/>
    <w:rsid w:val="00C87099"/>
    <w:rsid w:val="00C87622"/>
    <w:rsid w:val="00C87809"/>
    <w:rsid w:val="00C8792E"/>
    <w:rsid w:val="00C87A11"/>
    <w:rsid w:val="00C904D5"/>
    <w:rsid w:val="00C90C91"/>
    <w:rsid w:val="00C9115C"/>
    <w:rsid w:val="00C926FF"/>
    <w:rsid w:val="00C928B9"/>
    <w:rsid w:val="00C92ED4"/>
    <w:rsid w:val="00C933AB"/>
    <w:rsid w:val="00C93FA8"/>
    <w:rsid w:val="00C94753"/>
    <w:rsid w:val="00C9475F"/>
    <w:rsid w:val="00C949B9"/>
    <w:rsid w:val="00C9523A"/>
    <w:rsid w:val="00C95F5F"/>
    <w:rsid w:val="00C96C53"/>
    <w:rsid w:val="00C96F83"/>
    <w:rsid w:val="00C97220"/>
    <w:rsid w:val="00C9747B"/>
    <w:rsid w:val="00C97538"/>
    <w:rsid w:val="00C976A0"/>
    <w:rsid w:val="00C97EC5"/>
    <w:rsid w:val="00C97EC8"/>
    <w:rsid w:val="00C97FA3"/>
    <w:rsid w:val="00CA0292"/>
    <w:rsid w:val="00CA0578"/>
    <w:rsid w:val="00CA0617"/>
    <w:rsid w:val="00CA069C"/>
    <w:rsid w:val="00CA08FF"/>
    <w:rsid w:val="00CA0D5F"/>
    <w:rsid w:val="00CA1AB4"/>
    <w:rsid w:val="00CA223A"/>
    <w:rsid w:val="00CA26F4"/>
    <w:rsid w:val="00CA3172"/>
    <w:rsid w:val="00CA3247"/>
    <w:rsid w:val="00CA357B"/>
    <w:rsid w:val="00CA4406"/>
    <w:rsid w:val="00CA451A"/>
    <w:rsid w:val="00CA51BF"/>
    <w:rsid w:val="00CA6886"/>
    <w:rsid w:val="00CA6D89"/>
    <w:rsid w:val="00CA6EB6"/>
    <w:rsid w:val="00CA7A82"/>
    <w:rsid w:val="00CB0317"/>
    <w:rsid w:val="00CB0640"/>
    <w:rsid w:val="00CB08A5"/>
    <w:rsid w:val="00CB0B60"/>
    <w:rsid w:val="00CB0D55"/>
    <w:rsid w:val="00CB19FB"/>
    <w:rsid w:val="00CB1BC2"/>
    <w:rsid w:val="00CB1C2E"/>
    <w:rsid w:val="00CB2773"/>
    <w:rsid w:val="00CB2BB6"/>
    <w:rsid w:val="00CB2F54"/>
    <w:rsid w:val="00CB3187"/>
    <w:rsid w:val="00CB3788"/>
    <w:rsid w:val="00CB3A59"/>
    <w:rsid w:val="00CB3B0E"/>
    <w:rsid w:val="00CB4B5D"/>
    <w:rsid w:val="00CB55DC"/>
    <w:rsid w:val="00CB5904"/>
    <w:rsid w:val="00CB6379"/>
    <w:rsid w:val="00CB7129"/>
    <w:rsid w:val="00CB7192"/>
    <w:rsid w:val="00CB772E"/>
    <w:rsid w:val="00CB7BD3"/>
    <w:rsid w:val="00CB7E43"/>
    <w:rsid w:val="00CB7EC0"/>
    <w:rsid w:val="00CC0476"/>
    <w:rsid w:val="00CC1BBF"/>
    <w:rsid w:val="00CC2292"/>
    <w:rsid w:val="00CC22AB"/>
    <w:rsid w:val="00CC251E"/>
    <w:rsid w:val="00CC2EAE"/>
    <w:rsid w:val="00CC3883"/>
    <w:rsid w:val="00CC39B3"/>
    <w:rsid w:val="00CC39F3"/>
    <w:rsid w:val="00CC4AA5"/>
    <w:rsid w:val="00CC514B"/>
    <w:rsid w:val="00CC5539"/>
    <w:rsid w:val="00CC5C10"/>
    <w:rsid w:val="00CC6800"/>
    <w:rsid w:val="00CC6D5E"/>
    <w:rsid w:val="00CC6D62"/>
    <w:rsid w:val="00CC7683"/>
    <w:rsid w:val="00CC7773"/>
    <w:rsid w:val="00CC790B"/>
    <w:rsid w:val="00CC7BC1"/>
    <w:rsid w:val="00CC7F5E"/>
    <w:rsid w:val="00CD0336"/>
    <w:rsid w:val="00CD0605"/>
    <w:rsid w:val="00CD07F6"/>
    <w:rsid w:val="00CD0B6C"/>
    <w:rsid w:val="00CD0E91"/>
    <w:rsid w:val="00CD109C"/>
    <w:rsid w:val="00CD123D"/>
    <w:rsid w:val="00CD1700"/>
    <w:rsid w:val="00CD1779"/>
    <w:rsid w:val="00CD1ABC"/>
    <w:rsid w:val="00CD1AFF"/>
    <w:rsid w:val="00CD2176"/>
    <w:rsid w:val="00CD2474"/>
    <w:rsid w:val="00CD2732"/>
    <w:rsid w:val="00CD297F"/>
    <w:rsid w:val="00CD2BC2"/>
    <w:rsid w:val="00CD2D8D"/>
    <w:rsid w:val="00CD3016"/>
    <w:rsid w:val="00CD400A"/>
    <w:rsid w:val="00CD4B88"/>
    <w:rsid w:val="00CD50F7"/>
    <w:rsid w:val="00CD5210"/>
    <w:rsid w:val="00CD6EF6"/>
    <w:rsid w:val="00CD7129"/>
    <w:rsid w:val="00CD7497"/>
    <w:rsid w:val="00CD7DB7"/>
    <w:rsid w:val="00CD7FD6"/>
    <w:rsid w:val="00CE0B42"/>
    <w:rsid w:val="00CE0D68"/>
    <w:rsid w:val="00CE1103"/>
    <w:rsid w:val="00CE152F"/>
    <w:rsid w:val="00CE1599"/>
    <w:rsid w:val="00CE1ACF"/>
    <w:rsid w:val="00CE24A5"/>
    <w:rsid w:val="00CE269D"/>
    <w:rsid w:val="00CE345C"/>
    <w:rsid w:val="00CE3776"/>
    <w:rsid w:val="00CE3884"/>
    <w:rsid w:val="00CE3886"/>
    <w:rsid w:val="00CE4B8A"/>
    <w:rsid w:val="00CE4BFD"/>
    <w:rsid w:val="00CE4EA3"/>
    <w:rsid w:val="00CE4FB7"/>
    <w:rsid w:val="00CE504C"/>
    <w:rsid w:val="00CE5885"/>
    <w:rsid w:val="00CE5E57"/>
    <w:rsid w:val="00CE68B6"/>
    <w:rsid w:val="00CE6C7E"/>
    <w:rsid w:val="00CE765A"/>
    <w:rsid w:val="00CE77DE"/>
    <w:rsid w:val="00CF0B8C"/>
    <w:rsid w:val="00CF0E67"/>
    <w:rsid w:val="00CF1117"/>
    <w:rsid w:val="00CF13EF"/>
    <w:rsid w:val="00CF17AF"/>
    <w:rsid w:val="00CF1F5E"/>
    <w:rsid w:val="00CF37C3"/>
    <w:rsid w:val="00CF3A68"/>
    <w:rsid w:val="00CF414F"/>
    <w:rsid w:val="00CF43DF"/>
    <w:rsid w:val="00CF46A5"/>
    <w:rsid w:val="00CF47EB"/>
    <w:rsid w:val="00CF49B9"/>
    <w:rsid w:val="00CF49CC"/>
    <w:rsid w:val="00CF4CA6"/>
    <w:rsid w:val="00CF4ECD"/>
    <w:rsid w:val="00CF4FA0"/>
    <w:rsid w:val="00CF5411"/>
    <w:rsid w:val="00CF62D0"/>
    <w:rsid w:val="00CF645B"/>
    <w:rsid w:val="00CF7240"/>
    <w:rsid w:val="00CF7A05"/>
    <w:rsid w:val="00CF7E80"/>
    <w:rsid w:val="00D00031"/>
    <w:rsid w:val="00D00EA4"/>
    <w:rsid w:val="00D018E0"/>
    <w:rsid w:val="00D01C48"/>
    <w:rsid w:val="00D01D68"/>
    <w:rsid w:val="00D02235"/>
    <w:rsid w:val="00D0268D"/>
    <w:rsid w:val="00D039A3"/>
    <w:rsid w:val="00D03BA2"/>
    <w:rsid w:val="00D03ECE"/>
    <w:rsid w:val="00D04070"/>
    <w:rsid w:val="00D0481E"/>
    <w:rsid w:val="00D04BB2"/>
    <w:rsid w:val="00D0506D"/>
    <w:rsid w:val="00D057B8"/>
    <w:rsid w:val="00D05B71"/>
    <w:rsid w:val="00D05F1E"/>
    <w:rsid w:val="00D067BF"/>
    <w:rsid w:val="00D079A5"/>
    <w:rsid w:val="00D10FC2"/>
    <w:rsid w:val="00D113D6"/>
    <w:rsid w:val="00D118A7"/>
    <w:rsid w:val="00D123D4"/>
    <w:rsid w:val="00D1285A"/>
    <w:rsid w:val="00D12B06"/>
    <w:rsid w:val="00D13127"/>
    <w:rsid w:val="00D1315F"/>
    <w:rsid w:val="00D13A73"/>
    <w:rsid w:val="00D15B06"/>
    <w:rsid w:val="00D162B6"/>
    <w:rsid w:val="00D16C91"/>
    <w:rsid w:val="00D17BDB"/>
    <w:rsid w:val="00D20196"/>
    <w:rsid w:val="00D20FC1"/>
    <w:rsid w:val="00D21049"/>
    <w:rsid w:val="00D21FB9"/>
    <w:rsid w:val="00D22243"/>
    <w:rsid w:val="00D22431"/>
    <w:rsid w:val="00D22ED2"/>
    <w:rsid w:val="00D235F7"/>
    <w:rsid w:val="00D237CF"/>
    <w:rsid w:val="00D23982"/>
    <w:rsid w:val="00D25152"/>
    <w:rsid w:val="00D25D5E"/>
    <w:rsid w:val="00D26121"/>
    <w:rsid w:val="00D262C7"/>
    <w:rsid w:val="00D2643C"/>
    <w:rsid w:val="00D26452"/>
    <w:rsid w:val="00D266BE"/>
    <w:rsid w:val="00D26DCA"/>
    <w:rsid w:val="00D275FD"/>
    <w:rsid w:val="00D278D5"/>
    <w:rsid w:val="00D27B7B"/>
    <w:rsid w:val="00D27C6D"/>
    <w:rsid w:val="00D27E6A"/>
    <w:rsid w:val="00D27EC8"/>
    <w:rsid w:val="00D27F24"/>
    <w:rsid w:val="00D30EC0"/>
    <w:rsid w:val="00D31475"/>
    <w:rsid w:val="00D31C6A"/>
    <w:rsid w:val="00D325ED"/>
    <w:rsid w:val="00D32C3E"/>
    <w:rsid w:val="00D32D57"/>
    <w:rsid w:val="00D32D7B"/>
    <w:rsid w:val="00D33054"/>
    <w:rsid w:val="00D332EB"/>
    <w:rsid w:val="00D336FF"/>
    <w:rsid w:val="00D33734"/>
    <w:rsid w:val="00D34018"/>
    <w:rsid w:val="00D3412F"/>
    <w:rsid w:val="00D34149"/>
    <w:rsid w:val="00D343F2"/>
    <w:rsid w:val="00D3495C"/>
    <w:rsid w:val="00D3509A"/>
    <w:rsid w:val="00D35E86"/>
    <w:rsid w:val="00D361A0"/>
    <w:rsid w:val="00D36588"/>
    <w:rsid w:val="00D36C02"/>
    <w:rsid w:val="00D373FF"/>
    <w:rsid w:val="00D3781D"/>
    <w:rsid w:val="00D37B28"/>
    <w:rsid w:val="00D37B2B"/>
    <w:rsid w:val="00D37E9E"/>
    <w:rsid w:val="00D40F64"/>
    <w:rsid w:val="00D411CD"/>
    <w:rsid w:val="00D418CE"/>
    <w:rsid w:val="00D41D30"/>
    <w:rsid w:val="00D424E9"/>
    <w:rsid w:val="00D42582"/>
    <w:rsid w:val="00D42789"/>
    <w:rsid w:val="00D42AA9"/>
    <w:rsid w:val="00D42BC7"/>
    <w:rsid w:val="00D42EDD"/>
    <w:rsid w:val="00D438AD"/>
    <w:rsid w:val="00D438EF"/>
    <w:rsid w:val="00D43AF4"/>
    <w:rsid w:val="00D43B94"/>
    <w:rsid w:val="00D440C1"/>
    <w:rsid w:val="00D4477C"/>
    <w:rsid w:val="00D44A72"/>
    <w:rsid w:val="00D44B8A"/>
    <w:rsid w:val="00D44C2A"/>
    <w:rsid w:val="00D44DDB"/>
    <w:rsid w:val="00D45103"/>
    <w:rsid w:val="00D45783"/>
    <w:rsid w:val="00D458DC"/>
    <w:rsid w:val="00D45A04"/>
    <w:rsid w:val="00D45AE0"/>
    <w:rsid w:val="00D45DAE"/>
    <w:rsid w:val="00D4612D"/>
    <w:rsid w:val="00D462B8"/>
    <w:rsid w:val="00D467B5"/>
    <w:rsid w:val="00D46E98"/>
    <w:rsid w:val="00D4707D"/>
    <w:rsid w:val="00D47C97"/>
    <w:rsid w:val="00D50381"/>
    <w:rsid w:val="00D5055B"/>
    <w:rsid w:val="00D50772"/>
    <w:rsid w:val="00D514D9"/>
    <w:rsid w:val="00D51D8D"/>
    <w:rsid w:val="00D52742"/>
    <w:rsid w:val="00D52816"/>
    <w:rsid w:val="00D52A50"/>
    <w:rsid w:val="00D52C19"/>
    <w:rsid w:val="00D530F0"/>
    <w:rsid w:val="00D53828"/>
    <w:rsid w:val="00D54379"/>
    <w:rsid w:val="00D54626"/>
    <w:rsid w:val="00D54A27"/>
    <w:rsid w:val="00D54B4F"/>
    <w:rsid w:val="00D55311"/>
    <w:rsid w:val="00D560EB"/>
    <w:rsid w:val="00D56C29"/>
    <w:rsid w:val="00D56EA4"/>
    <w:rsid w:val="00D572C3"/>
    <w:rsid w:val="00D5752B"/>
    <w:rsid w:val="00D575B4"/>
    <w:rsid w:val="00D57F48"/>
    <w:rsid w:val="00D60148"/>
    <w:rsid w:val="00D60DAA"/>
    <w:rsid w:val="00D610D8"/>
    <w:rsid w:val="00D61739"/>
    <w:rsid w:val="00D617EF"/>
    <w:rsid w:val="00D61B59"/>
    <w:rsid w:val="00D61CFC"/>
    <w:rsid w:val="00D628A5"/>
    <w:rsid w:val="00D62F95"/>
    <w:rsid w:val="00D63927"/>
    <w:rsid w:val="00D63ED9"/>
    <w:rsid w:val="00D64251"/>
    <w:rsid w:val="00D645CB"/>
    <w:rsid w:val="00D65B33"/>
    <w:rsid w:val="00D65D01"/>
    <w:rsid w:val="00D66583"/>
    <w:rsid w:val="00D665B8"/>
    <w:rsid w:val="00D66DFE"/>
    <w:rsid w:val="00D66ECE"/>
    <w:rsid w:val="00D6728D"/>
    <w:rsid w:val="00D6743C"/>
    <w:rsid w:val="00D7002F"/>
    <w:rsid w:val="00D71A77"/>
    <w:rsid w:val="00D71EBD"/>
    <w:rsid w:val="00D72AC9"/>
    <w:rsid w:val="00D72B8A"/>
    <w:rsid w:val="00D72F53"/>
    <w:rsid w:val="00D73539"/>
    <w:rsid w:val="00D7387A"/>
    <w:rsid w:val="00D73B5C"/>
    <w:rsid w:val="00D73BFC"/>
    <w:rsid w:val="00D743AE"/>
    <w:rsid w:val="00D74471"/>
    <w:rsid w:val="00D7465C"/>
    <w:rsid w:val="00D74A36"/>
    <w:rsid w:val="00D75209"/>
    <w:rsid w:val="00D7547D"/>
    <w:rsid w:val="00D7552C"/>
    <w:rsid w:val="00D756E0"/>
    <w:rsid w:val="00D7570A"/>
    <w:rsid w:val="00D75BBD"/>
    <w:rsid w:val="00D75EC0"/>
    <w:rsid w:val="00D761B7"/>
    <w:rsid w:val="00D7665D"/>
    <w:rsid w:val="00D7666D"/>
    <w:rsid w:val="00D776A5"/>
    <w:rsid w:val="00D77BB4"/>
    <w:rsid w:val="00D77DCF"/>
    <w:rsid w:val="00D77E74"/>
    <w:rsid w:val="00D80583"/>
    <w:rsid w:val="00D8099E"/>
    <w:rsid w:val="00D81436"/>
    <w:rsid w:val="00D81581"/>
    <w:rsid w:val="00D81714"/>
    <w:rsid w:val="00D81738"/>
    <w:rsid w:val="00D818CA"/>
    <w:rsid w:val="00D819E8"/>
    <w:rsid w:val="00D81A0D"/>
    <w:rsid w:val="00D81E6B"/>
    <w:rsid w:val="00D824A2"/>
    <w:rsid w:val="00D8271C"/>
    <w:rsid w:val="00D82C9E"/>
    <w:rsid w:val="00D82CD3"/>
    <w:rsid w:val="00D82E18"/>
    <w:rsid w:val="00D83A00"/>
    <w:rsid w:val="00D848BF"/>
    <w:rsid w:val="00D8546F"/>
    <w:rsid w:val="00D85A6F"/>
    <w:rsid w:val="00D85CBB"/>
    <w:rsid w:val="00D8604E"/>
    <w:rsid w:val="00D86540"/>
    <w:rsid w:val="00D865C3"/>
    <w:rsid w:val="00D867EA"/>
    <w:rsid w:val="00D86853"/>
    <w:rsid w:val="00D87D87"/>
    <w:rsid w:val="00D90645"/>
    <w:rsid w:val="00D90A06"/>
    <w:rsid w:val="00D90B4D"/>
    <w:rsid w:val="00D90BF5"/>
    <w:rsid w:val="00D91439"/>
    <w:rsid w:val="00D917A9"/>
    <w:rsid w:val="00D91C90"/>
    <w:rsid w:val="00D920EF"/>
    <w:rsid w:val="00D92976"/>
    <w:rsid w:val="00D93B6F"/>
    <w:rsid w:val="00D93F9C"/>
    <w:rsid w:val="00D94BBB"/>
    <w:rsid w:val="00D94C97"/>
    <w:rsid w:val="00D95416"/>
    <w:rsid w:val="00D9578D"/>
    <w:rsid w:val="00D9661B"/>
    <w:rsid w:val="00D968B8"/>
    <w:rsid w:val="00D969D0"/>
    <w:rsid w:val="00D96A88"/>
    <w:rsid w:val="00D96C56"/>
    <w:rsid w:val="00D96FBE"/>
    <w:rsid w:val="00D97274"/>
    <w:rsid w:val="00D9799A"/>
    <w:rsid w:val="00D97A54"/>
    <w:rsid w:val="00D97D1C"/>
    <w:rsid w:val="00DA041C"/>
    <w:rsid w:val="00DA1078"/>
    <w:rsid w:val="00DA131C"/>
    <w:rsid w:val="00DA19FF"/>
    <w:rsid w:val="00DA1B32"/>
    <w:rsid w:val="00DA2B3F"/>
    <w:rsid w:val="00DA3C95"/>
    <w:rsid w:val="00DA42C4"/>
    <w:rsid w:val="00DA4303"/>
    <w:rsid w:val="00DA436D"/>
    <w:rsid w:val="00DA4B02"/>
    <w:rsid w:val="00DA52FF"/>
    <w:rsid w:val="00DA5B88"/>
    <w:rsid w:val="00DA5C04"/>
    <w:rsid w:val="00DA5D6E"/>
    <w:rsid w:val="00DA6061"/>
    <w:rsid w:val="00DA60A6"/>
    <w:rsid w:val="00DA7097"/>
    <w:rsid w:val="00DA73FF"/>
    <w:rsid w:val="00DA7AC6"/>
    <w:rsid w:val="00DA7DF7"/>
    <w:rsid w:val="00DB05DF"/>
    <w:rsid w:val="00DB05FD"/>
    <w:rsid w:val="00DB0B5D"/>
    <w:rsid w:val="00DB1446"/>
    <w:rsid w:val="00DB1EB1"/>
    <w:rsid w:val="00DB1EDC"/>
    <w:rsid w:val="00DB2003"/>
    <w:rsid w:val="00DB2307"/>
    <w:rsid w:val="00DB2611"/>
    <w:rsid w:val="00DB2B77"/>
    <w:rsid w:val="00DB3F00"/>
    <w:rsid w:val="00DB5194"/>
    <w:rsid w:val="00DB56FE"/>
    <w:rsid w:val="00DB63FA"/>
    <w:rsid w:val="00DB71BB"/>
    <w:rsid w:val="00DB7633"/>
    <w:rsid w:val="00DB76CA"/>
    <w:rsid w:val="00DB7F1A"/>
    <w:rsid w:val="00DC0681"/>
    <w:rsid w:val="00DC086B"/>
    <w:rsid w:val="00DC11F1"/>
    <w:rsid w:val="00DC12A1"/>
    <w:rsid w:val="00DC16CC"/>
    <w:rsid w:val="00DC18B6"/>
    <w:rsid w:val="00DC1979"/>
    <w:rsid w:val="00DC19C3"/>
    <w:rsid w:val="00DC233C"/>
    <w:rsid w:val="00DC253E"/>
    <w:rsid w:val="00DC2CDF"/>
    <w:rsid w:val="00DC2D7F"/>
    <w:rsid w:val="00DC2EB7"/>
    <w:rsid w:val="00DC34E1"/>
    <w:rsid w:val="00DC359F"/>
    <w:rsid w:val="00DC3679"/>
    <w:rsid w:val="00DC3A1A"/>
    <w:rsid w:val="00DC3C3C"/>
    <w:rsid w:val="00DC4635"/>
    <w:rsid w:val="00DC4FC7"/>
    <w:rsid w:val="00DC5615"/>
    <w:rsid w:val="00DC5A3E"/>
    <w:rsid w:val="00DC5ADB"/>
    <w:rsid w:val="00DC5E39"/>
    <w:rsid w:val="00DC6631"/>
    <w:rsid w:val="00DC6F50"/>
    <w:rsid w:val="00DC74B2"/>
    <w:rsid w:val="00DC7993"/>
    <w:rsid w:val="00DC7A58"/>
    <w:rsid w:val="00DD01EC"/>
    <w:rsid w:val="00DD0665"/>
    <w:rsid w:val="00DD0F60"/>
    <w:rsid w:val="00DD1C44"/>
    <w:rsid w:val="00DD1DFB"/>
    <w:rsid w:val="00DD25BE"/>
    <w:rsid w:val="00DD27F6"/>
    <w:rsid w:val="00DD2C95"/>
    <w:rsid w:val="00DD3211"/>
    <w:rsid w:val="00DD4332"/>
    <w:rsid w:val="00DD4AC2"/>
    <w:rsid w:val="00DD4AFC"/>
    <w:rsid w:val="00DD50FF"/>
    <w:rsid w:val="00DD52B7"/>
    <w:rsid w:val="00DD57AC"/>
    <w:rsid w:val="00DD6810"/>
    <w:rsid w:val="00DD68A1"/>
    <w:rsid w:val="00DD69D3"/>
    <w:rsid w:val="00DD708D"/>
    <w:rsid w:val="00DD7AD8"/>
    <w:rsid w:val="00DD7AE7"/>
    <w:rsid w:val="00DD7CA7"/>
    <w:rsid w:val="00DE07D4"/>
    <w:rsid w:val="00DE2F01"/>
    <w:rsid w:val="00DE301C"/>
    <w:rsid w:val="00DE30B0"/>
    <w:rsid w:val="00DE3237"/>
    <w:rsid w:val="00DE35CA"/>
    <w:rsid w:val="00DE3936"/>
    <w:rsid w:val="00DE46D1"/>
    <w:rsid w:val="00DE5D25"/>
    <w:rsid w:val="00DE5F02"/>
    <w:rsid w:val="00DE6D22"/>
    <w:rsid w:val="00DE7182"/>
    <w:rsid w:val="00DE718D"/>
    <w:rsid w:val="00DE72D7"/>
    <w:rsid w:val="00DE7337"/>
    <w:rsid w:val="00DE7622"/>
    <w:rsid w:val="00DE79FC"/>
    <w:rsid w:val="00DF0AFB"/>
    <w:rsid w:val="00DF113C"/>
    <w:rsid w:val="00DF1159"/>
    <w:rsid w:val="00DF2973"/>
    <w:rsid w:val="00DF3236"/>
    <w:rsid w:val="00DF32B3"/>
    <w:rsid w:val="00DF354A"/>
    <w:rsid w:val="00DF3622"/>
    <w:rsid w:val="00DF3AD1"/>
    <w:rsid w:val="00DF43F2"/>
    <w:rsid w:val="00DF4B43"/>
    <w:rsid w:val="00DF4B4E"/>
    <w:rsid w:val="00DF53DF"/>
    <w:rsid w:val="00DF5ECE"/>
    <w:rsid w:val="00DF6161"/>
    <w:rsid w:val="00DF7A58"/>
    <w:rsid w:val="00DF7E59"/>
    <w:rsid w:val="00E003A4"/>
    <w:rsid w:val="00E00755"/>
    <w:rsid w:val="00E01373"/>
    <w:rsid w:val="00E01522"/>
    <w:rsid w:val="00E0186C"/>
    <w:rsid w:val="00E01BD7"/>
    <w:rsid w:val="00E01C6A"/>
    <w:rsid w:val="00E01CB7"/>
    <w:rsid w:val="00E02417"/>
    <w:rsid w:val="00E02529"/>
    <w:rsid w:val="00E026BF"/>
    <w:rsid w:val="00E02CBA"/>
    <w:rsid w:val="00E02FA6"/>
    <w:rsid w:val="00E03DDD"/>
    <w:rsid w:val="00E041D2"/>
    <w:rsid w:val="00E04343"/>
    <w:rsid w:val="00E0458C"/>
    <w:rsid w:val="00E05025"/>
    <w:rsid w:val="00E050D3"/>
    <w:rsid w:val="00E05400"/>
    <w:rsid w:val="00E05815"/>
    <w:rsid w:val="00E05C69"/>
    <w:rsid w:val="00E05DBF"/>
    <w:rsid w:val="00E0607D"/>
    <w:rsid w:val="00E06424"/>
    <w:rsid w:val="00E06B19"/>
    <w:rsid w:val="00E073F1"/>
    <w:rsid w:val="00E0746C"/>
    <w:rsid w:val="00E10009"/>
    <w:rsid w:val="00E1111E"/>
    <w:rsid w:val="00E114CA"/>
    <w:rsid w:val="00E1170C"/>
    <w:rsid w:val="00E121D6"/>
    <w:rsid w:val="00E129AF"/>
    <w:rsid w:val="00E1320B"/>
    <w:rsid w:val="00E1333F"/>
    <w:rsid w:val="00E135B7"/>
    <w:rsid w:val="00E1367A"/>
    <w:rsid w:val="00E145C1"/>
    <w:rsid w:val="00E14FB9"/>
    <w:rsid w:val="00E15380"/>
    <w:rsid w:val="00E153A8"/>
    <w:rsid w:val="00E15601"/>
    <w:rsid w:val="00E15AAD"/>
    <w:rsid w:val="00E16A19"/>
    <w:rsid w:val="00E175FE"/>
    <w:rsid w:val="00E17E81"/>
    <w:rsid w:val="00E21417"/>
    <w:rsid w:val="00E21CDE"/>
    <w:rsid w:val="00E22481"/>
    <w:rsid w:val="00E22893"/>
    <w:rsid w:val="00E22C36"/>
    <w:rsid w:val="00E22D92"/>
    <w:rsid w:val="00E23967"/>
    <w:rsid w:val="00E2406C"/>
    <w:rsid w:val="00E2436B"/>
    <w:rsid w:val="00E248C0"/>
    <w:rsid w:val="00E24D39"/>
    <w:rsid w:val="00E24FD4"/>
    <w:rsid w:val="00E2584E"/>
    <w:rsid w:val="00E25B2F"/>
    <w:rsid w:val="00E26857"/>
    <w:rsid w:val="00E26AC5"/>
    <w:rsid w:val="00E26E90"/>
    <w:rsid w:val="00E27373"/>
    <w:rsid w:val="00E275BB"/>
    <w:rsid w:val="00E27758"/>
    <w:rsid w:val="00E3048E"/>
    <w:rsid w:val="00E307CD"/>
    <w:rsid w:val="00E30C26"/>
    <w:rsid w:val="00E310EE"/>
    <w:rsid w:val="00E314BE"/>
    <w:rsid w:val="00E31BF7"/>
    <w:rsid w:val="00E31C91"/>
    <w:rsid w:val="00E31D19"/>
    <w:rsid w:val="00E321D2"/>
    <w:rsid w:val="00E32809"/>
    <w:rsid w:val="00E32A5B"/>
    <w:rsid w:val="00E33A43"/>
    <w:rsid w:val="00E33EC4"/>
    <w:rsid w:val="00E34492"/>
    <w:rsid w:val="00E34A68"/>
    <w:rsid w:val="00E34B3D"/>
    <w:rsid w:val="00E34DD6"/>
    <w:rsid w:val="00E3533B"/>
    <w:rsid w:val="00E35728"/>
    <w:rsid w:val="00E35907"/>
    <w:rsid w:val="00E35C11"/>
    <w:rsid w:val="00E35EE5"/>
    <w:rsid w:val="00E360D2"/>
    <w:rsid w:val="00E3629A"/>
    <w:rsid w:val="00E367DF"/>
    <w:rsid w:val="00E3699D"/>
    <w:rsid w:val="00E369AA"/>
    <w:rsid w:val="00E36D8C"/>
    <w:rsid w:val="00E37087"/>
    <w:rsid w:val="00E37D12"/>
    <w:rsid w:val="00E37DD0"/>
    <w:rsid w:val="00E403B6"/>
    <w:rsid w:val="00E40DAB"/>
    <w:rsid w:val="00E40E93"/>
    <w:rsid w:val="00E42164"/>
    <w:rsid w:val="00E4237F"/>
    <w:rsid w:val="00E43473"/>
    <w:rsid w:val="00E435B4"/>
    <w:rsid w:val="00E4370F"/>
    <w:rsid w:val="00E43A13"/>
    <w:rsid w:val="00E44099"/>
    <w:rsid w:val="00E441DC"/>
    <w:rsid w:val="00E45414"/>
    <w:rsid w:val="00E45C87"/>
    <w:rsid w:val="00E46CF5"/>
    <w:rsid w:val="00E47752"/>
    <w:rsid w:val="00E47D7F"/>
    <w:rsid w:val="00E50332"/>
    <w:rsid w:val="00E507CA"/>
    <w:rsid w:val="00E50D0D"/>
    <w:rsid w:val="00E50E93"/>
    <w:rsid w:val="00E50EB0"/>
    <w:rsid w:val="00E51152"/>
    <w:rsid w:val="00E51410"/>
    <w:rsid w:val="00E51C59"/>
    <w:rsid w:val="00E51D7A"/>
    <w:rsid w:val="00E51E5E"/>
    <w:rsid w:val="00E5204F"/>
    <w:rsid w:val="00E531C7"/>
    <w:rsid w:val="00E532AD"/>
    <w:rsid w:val="00E536FF"/>
    <w:rsid w:val="00E53A5A"/>
    <w:rsid w:val="00E53B76"/>
    <w:rsid w:val="00E54B43"/>
    <w:rsid w:val="00E55B70"/>
    <w:rsid w:val="00E55E40"/>
    <w:rsid w:val="00E56135"/>
    <w:rsid w:val="00E56BF4"/>
    <w:rsid w:val="00E56EDC"/>
    <w:rsid w:val="00E5723C"/>
    <w:rsid w:val="00E60412"/>
    <w:rsid w:val="00E60542"/>
    <w:rsid w:val="00E60DB5"/>
    <w:rsid w:val="00E61278"/>
    <w:rsid w:val="00E61517"/>
    <w:rsid w:val="00E61C25"/>
    <w:rsid w:val="00E6201A"/>
    <w:rsid w:val="00E62146"/>
    <w:rsid w:val="00E62C28"/>
    <w:rsid w:val="00E64786"/>
    <w:rsid w:val="00E64BD6"/>
    <w:rsid w:val="00E64D7D"/>
    <w:rsid w:val="00E6640F"/>
    <w:rsid w:val="00E6646E"/>
    <w:rsid w:val="00E66F13"/>
    <w:rsid w:val="00E67D61"/>
    <w:rsid w:val="00E705E1"/>
    <w:rsid w:val="00E709F8"/>
    <w:rsid w:val="00E70E9C"/>
    <w:rsid w:val="00E719F9"/>
    <w:rsid w:val="00E71E54"/>
    <w:rsid w:val="00E71E7E"/>
    <w:rsid w:val="00E720DE"/>
    <w:rsid w:val="00E7222D"/>
    <w:rsid w:val="00E7244B"/>
    <w:rsid w:val="00E72A8E"/>
    <w:rsid w:val="00E73761"/>
    <w:rsid w:val="00E739A0"/>
    <w:rsid w:val="00E73B03"/>
    <w:rsid w:val="00E73F09"/>
    <w:rsid w:val="00E73F7E"/>
    <w:rsid w:val="00E740E7"/>
    <w:rsid w:val="00E741A1"/>
    <w:rsid w:val="00E7441C"/>
    <w:rsid w:val="00E745A4"/>
    <w:rsid w:val="00E74B8D"/>
    <w:rsid w:val="00E752F1"/>
    <w:rsid w:val="00E7554B"/>
    <w:rsid w:val="00E76BA9"/>
    <w:rsid w:val="00E76FAE"/>
    <w:rsid w:val="00E77126"/>
    <w:rsid w:val="00E77255"/>
    <w:rsid w:val="00E7749A"/>
    <w:rsid w:val="00E7776A"/>
    <w:rsid w:val="00E80098"/>
    <w:rsid w:val="00E8029F"/>
    <w:rsid w:val="00E8035D"/>
    <w:rsid w:val="00E80380"/>
    <w:rsid w:val="00E803E5"/>
    <w:rsid w:val="00E80C48"/>
    <w:rsid w:val="00E817BC"/>
    <w:rsid w:val="00E81D82"/>
    <w:rsid w:val="00E8224B"/>
    <w:rsid w:val="00E82B05"/>
    <w:rsid w:val="00E839F7"/>
    <w:rsid w:val="00E83C0D"/>
    <w:rsid w:val="00E84010"/>
    <w:rsid w:val="00E858E5"/>
    <w:rsid w:val="00E85FF6"/>
    <w:rsid w:val="00E875AA"/>
    <w:rsid w:val="00E87A0C"/>
    <w:rsid w:val="00E87B0A"/>
    <w:rsid w:val="00E87E59"/>
    <w:rsid w:val="00E900CC"/>
    <w:rsid w:val="00E90488"/>
    <w:rsid w:val="00E9049F"/>
    <w:rsid w:val="00E90F32"/>
    <w:rsid w:val="00E911D2"/>
    <w:rsid w:val="00E91E5A"/>
    <w:rsid w:val="00E93011"/>
    <w:rsid w:val="00E939B8"/>
    <w:rsid w:val="00E939C8"/>
    <w:rsid w:val="00E93F62"/>
    <w:rsid w:val="00E945C6"/>
    <w:rsid w:val="00E945C8"/>
    <w:rsid w:val="00E952E5"/>
    <w:rsid w:val="00E95622"/>
    <w:rsid w:val="00E95640"/>
    <w:rsid w:val="00E95E66"/>
    <w:rsid w:val="00E96401"/>
    <w:rsid w:val="00E9657A"/>
    <w:rsid w:val="00E965C2"/>
    <w:rsid w:val="00E965D6"/>
    <w:rsid w:val="00E96750"/>
    <w:rsid w:val="00E96B7F"/>
    <w:rsid w:val="00E96E63"/>
    <w:rsid w:val="00E96ED3"/>
    <w:rsid w:val="00E974EF"/>
    <w:rsid w:val="00E97C72"/>
    <w:rsid w:val="00E97DED"/>
    <w:rsid w:val="00E97E58"/>
    <w:rsid w:val="00EA0696"/>
    <w:rsid w:val="00EA14A6"/>
    <w:rsid w:val="00EA1775"/>
    <w:rsid w:val="00EA36E3"/>
    <w:rsid w:val="00EA3795"/>
    <w:rsid w:val="00EA3E5A"/>
    <w:rsid w:val="00EA3EC1"/>
    <w:rsid w:val="00EA4D7D"/>
    <w:rsid w:val="00EA4E52"/>
    <w:rsid w:val="00EA4EB5"/>
    <w:rsid w:val="00EA51D8"/>
    <w:rsid w:val="00EA537C"/>
    <w:rsid w:val="00EA5995"/>
    <w:rsid w:val="00EA59A5"/>
    <w:rsid w:val="00EA59D3"/>
    <w:rsid w:val="00EA5AC0"/>
    <w:rsid w:val="00EA5E84"/>
    <w:rsid w:val="00EA614D"/>
    <w:rsid w:val="00EA6208"/>
    <w:rsid w:val="00EA656D"/>
    <w:rsid w:val="00EA6E8D"/>
    <w:rsid w:val="00EA70D2"/>
    <w:rsid w:val="00EA78F0"/>
    <w:rsid w:val="00EB02D2"/>
    <w:rsid w:val="00EB18E1"/>
    <w:rsid w:val="00EB1B61"/>
    <w:rsid w:val="00EB2D7D"/>
    <w:rsid w:val="00EB315E"/>
    <w:rsid w:val="00EB322D"/>
    <w:rsid w:val="00EB362B"/>
    <w:rsid w:val="00EB3C66"/>
    <w:rsid w:val="00EB472F"/>
    <w:rsid w:val="00EB5275"/>
    <w:rsid w:val="00EB5528"/>
    <w:rsid w:val="00EB6220"/>
    <w:rsid w:val="00EB6574"/>
    <w:rsid w:val="00EB671A"/>
    <w:rsid w:val="00EB715F"/>
    <w:rsid w:val="00EB7402"/>
    <w:rsid w:val="00EB748F"/>
    <w:rsid w:val="00EB7741"/>
    <w:rsid w:val="00EB7905"/>
    <w:rsid w:val="00EB7A41"/>
    <w:rsid w:val="00EB7C7A"/>
    <w:rsid w:val="00EC02EA"/>
    <w:rsid w:val="00EC092A"/>
    <w:rsid w:val="00EC0D15"/>
    <w:rsid w:val="00EC0F0F"/>
    <w:rsid w:val="00EC0F41"/>
    <w:rsid w:val="00EC1B34"/>
    <w:rsid w:val="00EC1FDE"/>
    <w:rsid w:val="00EC3073"/>
    <w:rsid w:val="00EC3267"/>
    <w:rsid w:val="00EC4564"/>
    <w:rsid w:val="00EC4E16"/>
    <w:rsid w:val="00EC54D0"/>
    <w:rsid w:val="00EC5826"/>
    <w:rsid w:val="00EC5842"/>
    <w:rsid w:val="00EC669C"/>
    <w:rsid w:val="00EC6A35"/>
    <w:rsid w:val="00EC6EDA"/>
    <w:rsid w:val="00EC78FB"/>
    <w:rsid w:val="00EC7ACE"/>
    <w:rsid w:val="00EC7D38"/>
    <w:rsid w:val="00ED00FB"/>
    <w:rsid w:val="00ED0A9F"/>
    <w:rsid w:val="00ED0C6E"/>
    <w:rsid w:val="00ED0E44"/>
    <w:rsid w:val="00ED1E11"/>
    <w:rsid w:val="00ED225B"/>
    <w:rsid w:val="00ED2C09"/>
    <w:rsid w:val="00ED2DFD"/>
    <w:rsid w:val="00ED3A0D"/>
    <w:rsid w:val="00ED3B1B"/>
    <w:rsid w:val="00ED404F"/>
    <w:rsid w:val="00ED4510"/>
    <w:rsid w:val="00ED45D8"/>
    <w:rsid w:val="00ED4CCF"/>
    <w:rsid w:val="00ED4DBD"/>
    <w:rsid w:val="00ED534D"/>
    <w:rsid w:val="00ED57D1"/>
    <w:rsid w:val="00ED5A14"/>
    <w:rsid w:val="00ED5B58"/>
    <w:rsid w:val="00ED6140"/>
    <w:rsid w:val="00ED68FC"/>
    <w:rsid w:val="00ED7DCD"/>
    <w:rsid w:val="00EE0446"/>
    <w:rsid w:val="00EE04C4"/>
    <w:rsid w:val="00EE1048"/>
    <w:rsid w:val="00EE16D5"/>
    <w:rsid w:val="00EE1B8A"/>
    <w:rsid w:val="00EE226A"/>
    <w:rsid w:val="00EE2324"/>
    <w:rsid w:val="00EE2444"/>
    <w:rsid w:val="00EE321A"/>
    <w:rsid w:val="00EE3661"/>
    <w:rsid w:val="00EE444F"/>
    <w:rsid w:val="00EE4565"/>
    <w:rsid w:val="00EE4AE3"/>
    <w:rsid w:val="00EE4E0B"/>
    <w:rsid w:val="00EE4EFC"/>
    <w:rsid w:val="00EE53AF"/>
    <w:rsid w:val="00EE6096"/>
    <w:rsid w:val="00EE6510"/>
    <w:rsid w:val="00EE6C77"/>
    <w:rsid w:val="00EE72EE"/>
    <w:rsid w:val="00EE7BE4"/>
    <w:rsid w:val="00EF027C"/>
    <w:rsid w:val="00EF03FB"/>
    <w:rsid w:val="00EF075F"/>
    <w:rsid w:val="00EF12D8"/>
    <w:rsid w:val="00EF26F3"/>
    <w:rsid w:val="00EF2C5F"/>
    <w:rsid w:val="00EF352A"/>
    <w:rsid w:val="00EF3861"/>
    <w:rsid w:val="00EF3A7A"/>
    <w:rsid w:val="00EF3B17"/>
    <w:rsid w:val="00EF42D1"/>
    <w:rsid w:val="00EF46B6"/>
    <w:rsid w:val="00EF47D2"/>
    <w:rsid w:val="00EF4A4C"/>
    <w:rsid w:val="00EF4DE6"/>
    <w:rsid w:val="00EF4FE4"/>
    <w:rsid w:val="00EF585F"/>
    <w:rsid w:val="00EF5898"/>
    <w:rsid w:val="00EF6D80"/>
    <w:rsid w:val="00EF6DA7"/>
    <w:rsid w:val="00EF72EE"/>
    <w:rsid w:val="00EF756E"/>
    <w:rsid w:val="00F00D1A"/>
    <w:rsid w:val="00F010E7"/>
    <w:rsid w:val="00F0160F"/>
    <w:rsid w:val="00F01860"/>
    <w:rsid w:val="00F01BE1"/>
    <w:rsid w:val="00F0221F"/>
    <w:rsid w:val="00F026F8"/>
    <w:rsid w:val="00F02BD8"/>
    <w:rsid w:val="00F02F0E"/>
    <w:rsid w:val="00F03ADE"/>
    <w:rsid w:val="00F03B9A"/>
    <w:rsid w:val="00F03BAD"/>
    <w:rsid w:val="00F03BDC"/>
    <w:rsid w:val="00F03F64"/>
    <w:rsid w:val="00F0408C"/>
    <w:rsid w:val="00F04FB0"/>
    <w:rsid w:val="00F050F5"/>
    <w:rsid w:val="00F05752"/>
    <w:rsid w:val="00F05FEE"/>
    <w:rsid w:val="00F062F1"/>
    <w:rsid w:val="00F06387"/>
    <w:rsid w:val="00F06875"/>
    <w:rsid w:val="00F0722A"/>
    <w:rsid w:val="00F077BC"/>
    <w:rsid w:val="00F07EFB"/>
    <w:rsid w:val="00F1031D"/>
    <w:rsid w:val="00F10F86"/>
    <w:rsid w:val="00F127E3"/>
    <w:rsid w:val="00F12D1A"/>
    <w:rsid w:val="00F13042"/>
    <w:rsid w:val="00F13380"/>
    <w:rsid w:val="00F13A03"/>
    <w:rsid w:val="00F13B3A"/>
    <w:rsid w:val="00F13D73"/>
    <w:rsid w:val="00F13FC0"/>
    <w:rsid w:val="00F14122"/>
    <w:rsid w:val="00F14418"/>
    <w:rsid w:val="00F14ACF"/>
    <w:rsid w:val="00F15310"/>
    <w:rsid w:val="00F15495"/>
    <w:rsid w:val="00F1558C"/>
    <w:rsid w:val="00F16F97"/>
    <w:rsid w:val="00F17971"/>
    <w:rsid w:val="00F17EF8"/>
    <w:rsid w:val="00F20E9E"/>
    <w:rsid w:val="00F21832"/>
    <w:rsid w:val="00F22783"/>
    <w:rsid w:val="00F227BE"/>
    <w:rsid w:val="00F23C75"/>
    <w:rsid w:val="00F23DDA"/>
    <w:rsid w:val="00F245D3"/>
    <w:rsid w:val="00F24EC4"/>
    <w:rsid w:val="00F25002"/>
    <w:rsid w:val="00F2520C"/>
    <w:rsid w:val="00F25216"/>
    <w:rsid w:val="00F25DF9"/>
    <w:rsid w:val="00F26CE5"/>
    <w:rsid w:val="00F27411"/>
    <w:rsid w:val="00F275F4"/>
    <w:rsid w:val="00F27653"/>
    <w:rsid w:val="00F2796C"/>
    <w:rsid w:val="00F3125C"/>
    <w:rsid w:val="00F316A6"/>
    <w:rsid w:val="00F3170A"/>
    <w:rsid w:val="00F317FA"/>
    <w:rsid w:val="00F31FCD"/>
    <w:rsid w:val="00F32694"/>
    <w:rsid w:val="00F32F10"/>
    <w:rsid w:val="00F32FFF"/>
    <w:rsid w:val="00F33466"/>
    <w:rsid w:val="00F33775"/>
    <w:rsid w:val="00F3398B"/>
    <w:rsid w:val="00F33DDF"/>
    <w:rsid w:val="00F33EF8"/>
    <w:rsid w:val="00F34B4C"/>
    <w:rsid w:val="00F34CB8"/>
    <w:rsid w:val="00F34E7A"/>
    <w:rsid w:val="00F353E9"/>
    <w:rsid w:val="00F3613E"/>
    <w:rsid w:val="00F36A1E"/>
    <w:rsid w:val="00F36C84"/>
    <w:rsid w:val="00F370E7"/>
    <w:rsid w:val="00F37471"/>
    <w:rsid w:val="00F37ADF"/>
    <w:rsid w:val="00F4000E"/>
    <w:rsid w:val="00F402C0"/>
    <w:rsid w:val="00F40725"/>
    <w:rsid w:val="00F40ED5"/>
    <w:rsid w:val="00F413E1"/>
    <w:rsid w:val="00F4192F"/>
    <w:rsid w:val="00F41D3B"/>
    <w:rsid w:val="00F42117"/>
    <w:rsid w:val="00F4243F"/>
    <w:rsid w:val="00F42AB3"/>
    <w:rsid w:val="00F42CDE"/>
    <w:rsid w:val="00F43460"/>
    <w:rsid w:val="00F43FA1"/>
    <w:rsid w:val="00F44686"/>
    <w:rsid w:val="00F44E0D"/>
    <w:rsid w:val="00F45776"/>
    <w:rsid w:val="00F45909"/>
    <w:rsid w:val="00F46390"/>
    <w:rsid w:val="00F46C0E"/>
    <w:rsid w:val="00F46E61"/>
    <w:rsid w:val="00F4784E"/>
    <w:rsid w:val="00F50206"/>
    <w:rsid w:val="00F50443"/>
    <w:rsid w:val="00F51BB2"/>
    <w:rsid w:val="00F52045"/>
    <w:rsid w:val="00F5246A"/>
    <w:rsid w:val="00F52990"/>
    <w:rsid w:val="00F529F8"/>
    <w:rsid w:val="00F52E3C"/>
    <w:rsid w:val="00F52F9A"/>
    <w:rsid w:val="00F534E6"/>
    <w:rsid w:val="00F539D0"/>
    <w:rsid w:val="00F54297"/>
    <w:rsid w:val="00F54D5B"/>
    <w:rsid w:val="00F54E4C"/>
    <w:rsid w:val="00F54FF9"/>
    <w:rsid w:val="00F55267"/>
    <w:rsid w:val="00F5555F"/>
    <w:rsid w:val="00F56576"/>
    <w:rsid w:val="00F567C8"/>
    <w:rsid w:val="00F56908"/>
    <w:rsid w:val="00F569F6"/>
    <w:rsid w:val="00F56BB4"/>
    <w:rsid w:val="00F5713D"/>
    <w:rsid w:val="00F5716F"/>
    <w:rsid w:val="00F57307"/>
    <w:rsid w:val="00F5741C"/>
    <w:rsid w:val="00F577F0"/>
    <w:rsid w:val="00F603D0"/>
    <w:rsid w:val="00F60646"/>
    <w:rsid w:val="00F60AED"/>
    <w:rsid w:val="00F617F8"/>
    <w:rsid w:val="00F61ACB"/>
    <w:rsid w:val="00F6283F"/>
    <w:rsid w:val="00F6296D"/>
    <w:rsid w:val="00F63813"/>
    <w:rsid w:val="00F63929"/>
    <w:rsid w:val="00F63AFF"/>
    <w:rsid w:val="00F64068"/>
    <w:rsid w:val="00F65AF5"/>
    <w:rsid w:val="00F65F88"/>
    <w:rsid w:val="00F66D92"/>
    <w:rsid w:val="00F67694"/>
    <w:rsid w:val="00F67720"/>
    <w:rsid w:val="00F67B4A"/>
    <w:rsid w:val="00F67C79"/>
    <w:rsid w:val="00F67E32"/>
    <w:rsid w:val="00F7076D"/>
    <w:rsid w:val="00F70DC0"/>
    <w:rsid w:val="00F71307"/>
    <w:rsid w:val="00F717EE"/>
    <w:rsid w:val="00F71932"/>
    <w:rsid w:val="00F7200A"/>
    <w:rsid w:val="00F721C7"/>
    <w:rsid w:val="00F7288D"/>
    <w:rsid w:val="00F72B66"/>
    <w:rsid w:val="00F72D7B"/>
    <w:rsid w:val="00F73153"/>
    <w:rsid w:val="00F7316F"/>
    <w:rsid w:val="00F74A1B"/>
    <w:rsid w:val="00F74AF1"/>
    <w:rsid w:val="00F74AF6"/>
    <w:rsid w:val="00F74DB9"/>
    <w:rsid w:val="00F75489"/>
    <w:rsid w:val="00F757E4"/>
    <w:rsid w:val="00F763ED"/>
    <w:rsid w:val="00F764FB"/>
    <w:rsid w:val="00F7657F"/>
    <w:rsid w:val="00F765BC"/>
    <w:rsid w:val="00F76955"/>
    <w:rsid w:val="00F76E56"/>
    <w:rsid w:val="00F76F9B"/>
    <w:rsid w:val="00F775B6"/>
    <w:rsid w:val="00F77BA0"/>
    <w:rsid w:val="00F77CA6"/>
    <w:rsid w:val="00F77CCA"/>
    <w:rsid w:val="00F8021D"/>
    <w:rsid w:val="00F80FB9"/>
    <w:rsid w:val="00F81D61"/>
    <w:rsid w:val="00F81FFA"/>
    <w:rsid w:val="00F8279A"/>
    <w:rsid w:val="00F833CF"/>
    <w:rsid w:val="00F835D2"/>
    <w:rsid w:val="00F83917"/>
    <w:rsid w:val="00F84351"/>
    <w:rsid w:val="00F84447"/>
    <w:rsid w:val="00F8491D"/>
    <w:rsid w:val="00F84982"/>
    <w:rsid w:val="00F85025"/>
    <w:rsid w:val="00F85498"/>
    <w:rsid w:val="00F85702"/>
    <w:rsid w:val="00F859AF"/>
    <w:rsid w:val="00F85C4C"/>
    <w:rsid w:val="00F86661"/>
    <w:rsid w:val="00F86A3F"/>
    <w:rsid w:val="00F872ED"/>
    <w:rsid w:val="00F87A33"/>
    <w:rsid w:val="00F87B42"/>
    <w:rsid w:val="00F87BDF"/>
    <w:rsid w:val="00F90702"/>
    <w:rsid w:val="00F90738"/>
    <w:rsid w:val="00F90A1E"/>
    <w:rsid w:val="00F90E18"/>
    <w:rsid w:val="00F91E0A"/>
    <w:rsid w:val="00F92111"/>
    <w:rsid w:val="00F922AA"/>
    <w:rsid w:val="00F929AA"/>
    <w:rsid w:val="00F93905"/>
    <w:rsid w:val="00F93AE4"/>
    <w:rsid w:val="00F93EDB"/>
    <w:rsid w:val="00F941E2"/>
    <w:rsid w:val="00F941F6"/>
    <w:rsid w:val="00F94202"/>
    <w:rsid w:val="00F94B09"/>
    <w:rsid w:val="00F95502"/>
    <w:rsid w:val="00F958C7"/>
    <w:rsid w:val="00F96352"/>
    <w:rsid w:val="00F96DC3"/>
    <w:rsid w:val="00F970CC"/>
    <w:rsid w:val="00F9728D"/>
    <w:rsid w:val="00F9740F"/>
    <w:rsid w:val="00FA005E"/>
    <w:rsid w:val="00FA0080"/>
    <w:rsid w:val="00FA04EC"/>
    <w:rsid w:val="00FA062B"/>
    <w:rsid w:val="00FA08AA"/>
    <w:rsid w:val="00FA15FC"/>
    <w:rsid w:val="00FA1D7B"/>
    <w:rsid w:val="00FA1E05"/>
    <w:rsid w:val="00FA2164"/>
    <w:rsid w:val="00FA2166"/>
    <w:rsid w:val="00FA290A"/>
    <w:rsid w:val="00FA29DA"/>
    <w:rsid w:val="00FA2A7E"/>
    <w:rsid w:val="00FA2DB3"/>
    <w:rsid w:val="00FA2E52"/>
    <w:rsid w:val="00FA2F3F"/>
    <w:rsid w:val="00FA3329"/>
    <w:rsid w:val="00FA3410"/>
    <w:rsid w:val="00FA3AC1"/>
    <w:rsid w:val="00FA3EAF"/>
    <w:rsid w:val="00FA3F3A"/>
    <w:rsid w:val="00FA4CB3"/>
    <w:rsid w:val="00FA4D15"/>
    <w:rsid w:val="00FA5360"/>
    <w:rsid w:val="00FA5FF5"/>
    <w:rsid w:val="00FA6BA5"/>
    <w:rsid w:val="00FA6E74"/>
    <w:rsid w:val="00FA70D8"/>
    <w:rsid w:val="00FA7476"/>
    <w:rsid w:val="00FA754D"/>
    <w:rsid w:val="00FA7791"/>
    <w:rsid w:val="00FA7C97"/>
    <w:rsid w:val="00FA7FA3"/>
    <w:rsid w:val="00FB0028"/>
    <w:rsid w:val="00FB0C0A"/>
    <w:rsid w:val="00FB0E48"/>
    <w:rsid w:val="00FB1E2A"/>
    <w:rsid w:val="00FB2134"/>
    <w:rsid w:val="00FB2F56"/>
    <w:rsid w:val="00FB3A3D"/>
    <w:rsid w:val="00FB46C0"/>
    <w:rsid w:val="00FB4DC0"/>
    <w:rsid w:val="00FB4DEC"/>
    <w:rsid w:val="00FB501C"/>
    <w:rsid w:val="00FB5966"/>
    <w:rsid w:val="00FB613D"/>
    <w:rsid w:val="00FB6475"/>
    <w:rsid w:val="00FB72AE"/>
    <w:rsid w:val="00FB76C7"/>
    <w:rsid w:val="00FB7885"/>
    <w:rsid w:val="00FC0281"/>
    <w:rsid w:val="00FC0569"/>
    <w:rsid w:val="00FC0DF2"/>
    <w:rsid w:val="00FC0F5C"/>
    <w:rsid w:val="00FC186A"/>
    <w:rsid w:val="00FC1EE9"/>
    <w:rsid w:val="00FC2C95"/>
    <w:rsid w:val="00FC3182"/>
    <w:rsid w:val="00FC37A9"/>
    <w:rsid w:val="00FC3A98"/>
    <w:rsid w:val="00FC432D"/>
    <w:rsid w:val="00FC4741"/>
    <w:rsid w:val="00FC4951"/>
    <w:rsid w:val="00FC4E25"/>
    <w:rsid w:val="00FC510D"/>
    <w:rsid w:val="00FC5626"/>
    <w:rsid w:val="00FC5732"/>
    <w:rsid w:val="00FC583C"/>
    <w:rsid w:val="00FC5DDC"/>
    <w:rsid w:val="00FC65D4"/>
    <w:rsid w:val="00FC66DC"/>
    <w:rsid w:val="00FC672A"/>
    <w:rsid w:val="00FC72A1"/>
    <w:rsid w:val="00FD0196"/>
    <w:rsid w:val="00FD0CCE"/>
    <w:rsid w:val="00FD1DD5"/>
    <w:rsid w:val="00FD24FC"/>
    <w:rsid w:val="00FD2748"/>
    <w:rsid w:val="00FD275D"/>
    <w:rsid w:val="00FD2F3C"/>
    <w:rsid w:val="00FD2FC3"/>
    <w:rsid w:val="00FD3869"/>
    <w:rsid w:val="00FD3906"/>
    <w:rsid w:val="00FD3A1B"/>
    <w:rsid w:val="00FD3A8B"/>
    <w:rsid w:val="00FD418F"/>
    <w:rsid w:val="00FD44EB"/>
    <w:rsid w:val="00FD4E77"/>
    <w:rsid w:val="00FD5A03"/>
    <w:rsid w:val="00FD5B94"/>
    <w:rsid w:val="00FD5F17"/>
    <w:rsid w:val="00FD5F75"/>
    <w:rsid w:val="00FD6824"/>
    <w:rsid w:val="00FD71DD"/>
    <w:rsid w:val="00FD7445"/>
    <w:rsid w:val="00FD79A7"/>
    <w:rsid w:val="00FE13F0"/>
    <w:rsid w:val="00FE151C"/>
    <w:rsid w:val="00FE1586"/>
    <w:rsid w:val="00FE176D"/>
    <w:rsid w:val="00FE1827"/>
    <w:rsid w:val="00FE1891"/>
    <w:rsid w:val="00FE1A55"/>
    <w:rsid w:val="00FE1A76"/>
    <w:rsid w:val="00FE1C41"/>
    <w:rsid w:val="00FE1FD6"/>
    <w:rsid w:val="00FE2316"/>
    <w:rsid w:val="00FE2D0A"/>
    <w:rsid w:val="00FE41E6"/>
    <w:rsid w:val="00FE46A8"/>
    <w:rsid w:val="00FE4E62"/>
    <w:rsid w:val="00FE53C1"/>
    <w:rsid w:val="00FE54C5"/>
    <w:rsid w:val="00FE5B21"/>
    <w:rsid w:val="00FE60FA"/>
    <w:rsid w:val="00FE72CB"/>
    <w:rsid w:val="00FE766D"/>
    <w:rsid w:val="00FE775A"/>
    <w:rsid w:val="00FE7BAB"/>
    <w:rsid w:val="00FE7C61"/>
    <w:rsid w:val="00FE7CCD"/>
    <w:rsid w:val="00FF0BAD"/>
    <w:rsid w:val="00FF0CB8"/>
    <w:rsid w:val="00FF1037"/>
    <w:rsid w:val="00FF1044"/>
    <w:rsid w:val="00FF16A3"/>
    <w:rsid w:val="00FF2700"/>
    <w:rsid w:val="00FF3244"/>
    <w:rsid w:val="00FF3EA7"/>
    <w:rsid w:val="00FF4343"/>
    <w:rsid w:val="00FF49BB"/>
    <w:rsid w:val="00FF4C84"/>
    <w:rsid w:val="00FF4E4E"/>
    <w:rsid w:val="00FF5447"/>
    <w:rsid w:val="00FF54E2"/>
    <w:rsid w:val="00FF5918"/>
    <w:rsid w:val="00FF6304"/>
    <w:rsid w:val="00FF665A"/>
    <w:rsid w:val="00FF672A"/>
    <w:rsid w:val="00FF6739"/>
    <w:rsid w:val="00FF6888"/>
    <w:rsid w:val="00FF6B8C"/>
    <w:rsid w:val="00FF6D16"/>
    <w:rsid w:val="00FF720D"/>
    <w:rsid w:val="00FF7446"/>
    <w:rsid w:val="00FF77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906C1"/>
  <w15:docId w15:val="{B623BA8C-8007-42BC-B6C2-68D6AAB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0A"/>
  </w:style>
  <w:style w:type="paragraph" w:styleId="Ttulo1">
    <w:name w:val="heading 1"/>
    <w:basedOn w:val="Normal"/>
    <w:next w:val="Normal"/>
    <w:link w:val="Ttulo1Car"/>
    <w:uiPriority w:val="9"/>
    <w:qFormat/>
    <w:rsid w:val="005C07D4"/>
    <w:pPr>
      <w:keepNext/>
      <w:keepLines/>
      <w:pageBreakBefore/>
      <w:spacing w:before="240" w:after="0"/>
      <w:outlineLvl w:val="0"/>
    </w:pPr>
    <w:rPr>
      <w:rFonts w:asciiTheme="majorHAnsi" w:eastAsiaTheme="majorEastAsia" w:hAnsiTheme="majorHAnsi" w:cstheme="majorBidi"/>
      <w:b/>
      <w:color w:val="2F5496" w:themeColor="accent1" w:themeShade="BF"/>
      <w:sz w:val="32"/>
      <w:szCs w:val="32"/>
    </w:rPr>
  </w:style>
  <w:style w:type="paragraph" w:styleId="Ttulo2">
    <w:name w:val="heading 2"/>
    <w:basedOn w:val="Normal"/>
    <w:next w:val="Normal"/>
    <w:link w:val="Ttulo2Car"/>
    <w:uiPriority w:val="9"/>
    <w:unhideWhenUsed/>
    <w:qFormat/>
    <w:rsid w:val="0040136F"/>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093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224D89"/>
    <w:pPr>
      <w:keepNext/>
      <w:keepLines/>
      <w:spacing w:before="40" w:after="0"/>
      <w:jc w:val="both"/>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7D4"/>
    <w:rPr>
      <w:rFonts w:asciiTheme="majorHAnsi" w:eastAsiaTheme="majorEastAsia" w:hAnsiTheme="majorHAnsi" w:cstheme="majorBidi"/>
      <w:b/>
      <w:color w:val="2F5496" w:themeColor="accent1" w:themeShade="BF"/>
      <w:sz w:val="32"/>
      <w:szCs w:val="32"/>
    </w:rPr>
  </w:style>
  <w:style w:type="character" w:customStyle="1" w:styleId="Ttulo2Car">
    <w:name w:val="Título 2 Car"/>
    <w:basedOn w:val="Fuentedeprrafopredeter"/>
    <w:link w:val="Ttulo2"/>
    <w:uiPriority w:val="9"/>
    <w:rsid w:val="0040136F"/>
    <w:rPr>
      <w:rFonts w:asciiTheme="majorHAnsi" w:eastAsiaTheme="majorEastAsia" w:hAnsiTheme="majorHAnsi" w:cstheme="majorBidi"/>
      <w:b/>
      <w:sz w:val="26"/>
      <w:szCs w:val="26"/>
    </w:rPr>
  </w:style>
  <w:style w:type="paragraph" w:styleId="Prrafodelista">
    <w:name w:val="List Paragraph"/>
    <w:basedOn w:val="Normal"/>
    <w:link w:val="PrrafodelistaCar"/>
    <w:uiPriority w:val="34"/>
    <w:qFormat/>
    <w:rsid w:val="00BF47A4"/>
    <w:pPr>
      <w:ind w:left="720"/>
      <w:contextualSpacing/>
    </w:pPr>
  </w:style>
  <w:style w:type="character" w:styleId="Refdecomentario">
    <w:name w:val="annotation reference"/>
    <w:basedOn w:val="Fuentedeprrafopredeter"/>
    <w:uiPriority w:val="99"/>
    <w:semiHidden/>
    <w:unhideWhenUsed/>
    <w:rsid w:val="003C5F98"/>
    <w:rPr>
      <w:sz w:val="16"/>
      <w:szCs w:val="16"/>
    </w:rPr>
  </w:style>
  <w:style w:type="paragraph" w:styleId="Textocomentario">
    <w:name w:val="annotation text"/>
    <w:basedOn w:val="Normal"/>
    <w:link w:val="TextocomentarioCar"/>
    <w:uiPriority w:val="99"/>
    <w:unhideWhenUsed/>
    <w:rsid w:val="003C5F98"/>
    <w:pPr>
      <w:spacing w:line="240" w:lineRule="auto"/>
    </w:pPr>
    <w:rPr>
      <w:sz w:val="20"/>
      <w:szCs w:val="20"/>
    </w:rPr>
  </w:style>
  <w:style w:type="character" w:customStyle="1" w:styleId="TextocomentarioCar">
    <w:name w:val="Texto comentario Car"/>
    <w:basedOn w:val="Fuentedeprrafopredeter"/>
    <w:link w:val="Textocomentario"/>
    <w:uiPriority w:val="99"/>
    <w:rsid w:val="003C5F98"/>
    <w:rPr>
      <w:sz w:val="20"/>
      <w:szCs w:val="20"/>
    </w:rPr>
  </w:style>
  <w:style w:type="paragraph" w:styleId="Asuntodelcomentario">
    <w:name w:val="annotation subject"/>
    <w:basedOn w:val="Textocomentario"/>
    <w:next w:val="Textocomentario"/>
    <w:link w:val="AsuntodelcomentarioCar"/>
    <w:uiPriority w:val="99"/>
    <w:semiHidden/>
    <w:unhideWhenUsed/>
    <w:rsid w:val="003C5F98"/>
    <w:rPr>
      <w:b/>
      <w:bCs/>
    </w:rPr>
  </w:style>
  <w:style w:type="character" w:customStyle="1" w:styleId="AsuntodelcomentarioCar">
    <w:name w:val="Asunto del comentario Car"/>
    <w:basedOn w:val="TextocomentarioCar"/>
    <w:link w:val="Asuntodelcomentario"/>
    <w:uiPriority w:val="99"/>
    <w:semiHidden/>
    <w:rsid w:val="003C5F98"/>
    <w:rPr>
      <w:b/>
      <w:bCs/>
      <w:sz w:val="20"/>
      <w:szCs w:val="20"/>
    </w:rPr>
  </w:style>
  <w:style w:type="paragraph" w:styleId="Textodeglobo">
    <w:name w:val="Balloon Text"/>
    <w:basedOn w:val="Normal"/>
    <w:link w:val="TextodegloboCar"/>
    <w:uiPriority w:val="99"/>
    <w:semiHidden/>
    <w:unhideWhenUsed/>
    <w:rsid w:val="003C5F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F98"/>
    <w:rPr>
      <w:rFonts w:ascii="Segoe UI" w:hAnsi="Segoe UI" w:cs="Segoe UI"/>
      <w:sz w:val="18"/>
      <w:szCs w:val="18"/>
    </w:rPr>
  </w:style>
  <w:style w:type="paragraph" w:styleId="TtuloTDC">
    <w:name w:val="TOC Heading"/>
    <w:basedOn w:val="Ttulo1"/>
    <w:next w:val="Normal"/>
    <w:uiPriority w:val="39"/>
    <w:unhideWhenUsed/>
    <w:qFormat/>
    <w:rsid w:val="00BD7D6E"/>
    <w:pPr>
      <w:outlineLvl w:val="9"/>
    </w:pPr>
    <w:rPr>
      <w:lang w:eastAsia="es-ES"/>
    </w:rPr>
  </w:style>
  <w:style w:type="paragraph" w:styleId="TDC1">
    <w:name w:val="toc 1"/>
    <w:basedOn w:val="Normal"/>
    <w:next w:val="Normal"/>
    <w:autoRedefine/>
    <w:uiPriority w:val="39"/>
    <w:unhideWhenUsed/>
    <w:rsid w:val="00BD7D6E"/>
    <w:pPr>
      <w:spacing w:after="100"/>
    </w:pPr>
  </w:style>
  <w:style w:type="paragraph" w:styleId="TDC2">
    <w:name w:val="toc 2"/>
    <w:basedOn w:val="Normal"/>
    <w:next w:val="Normal"/>
    <w:autoRedefine/>
    <w:uiPriority w:val="39"/>
    <w:unhideWhenUsed/>
    <w:rsid w:val="00647831"/>
    <w:pPr>
      <w:tabs>
        <w:tab w:val="right" w:leader="dot" w:pos="8494"/>
      </w:tabs>
      <w:spacing w:after="100"/>
      <w:ind w:left="220"/>
    </w:pPr>
  </w:style>
  <w:style w:type="character" w:styleId="Hipervnculo">
    <w:name w:val="Hyperlink"/>
    <w:basedOn w:val="Fuentedeprrafopredeter"/>
    <w:uiPriority w:val="99"/>
    <w:unhideWhenUsed/>
    <w:rsid w:val="00BD7D6E"/>
    <w:rPr>
      <w:color w:val="0563C1" w:themeColor="hyperlink"/>
      <w:u w:val="single"/>
    </w:rPr>
  </w:style>
  <w:style w:type="paragraph" w:styleId="TDC3">
    <w:name w:val="toc 3"/>
    <w:basedOn w:val="Normal"/>
    <w:next w:val="Normal"/>
    <w:autoRedefine/>
    <w:uiPriority w:val="39"/>
    <w:unhideWhenUsed/>
    <w:rsid w:val="00BD7D6E"/>
    <w:pPr>
      <w:spacing w:after="100"/>
      <w:ind w:left="440"/>
    </w:pPr>
    <w:rPr>
      <w:rFonts w:eastAsiaTheme="minorEastAsia" w:cs="Times New Roman"/>
      <w:lang w:eastAsia="es-ES"/>
    </w:rPr>
  </w:style>
  <w:style w:type="paragraph" w:styleId="Textoindependiente">
    <w:name w:val="Body Text"/>
    <w:basedOn w:val="Normal"/>
    <w:link w:val="TextoindependienteCar"/>
    <w:rsid w:val="00055953"/>
    <w:pPr>
      <w:spacing w:after="0" w:line="240" w:lineRule="auto"/>
    </w:pPr>
    <w:rPr>
      <w:rFonts w:ascii="Times New Roman" w:eastAsia="Times New Roman" w:hAnsi="Times New Roman" w:cs="Times New Roman"/>
      <w:b/>
      <w:bCs/>
      <w:sz w:val="24"/>
      <w:szCs w:val="24"/>
      <w:u w:val="single"/>
      <w:lang w:eastAsia="es-ES"/>
    </w:rPr>
  </w:style>
  <w:style w:type="character" w:customStyle="1" w:styleId="TextoindependienteCar">
    <w:name w:val="Texto independiente Car"/>
    <w:basedOn w:val="Fuentedeprrafopredeter"/>
    <w:link w:val="Textoindependiente"/>
    <w:rsid w:val="00055953"/>
    <w:rPr>
      <w:rFonts w:ascii="Times New Roman" w:eastAsia="Times New Roman" w:hAnsi="Times New Roman" w:cs="Times New Roman"/>
      <w:b/>
      <w:bCs/>
      <w:sz w:val="24"/>
      <w:szCs w:val="24"/>
      <w:u w:val="single"/>
      <w:lang w:eastAsia="es-ES"/>
    </w:rPr>
  </w:style>
  <w:style w:type="paragraph" w:customStyle="1" w:styleId="Default">
    <w:name w:val="Default"/>
    <w:rsid w:val="0005595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iPriority w:val="99"/>
    <w:unhideWhenUsed/>
    <w:rsid w:val="002C3C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3CBD"/>
  </w:style>
  <w:style w:type="paragraph" w:styleId="Piedepgina">
    <w:name w:val="footer"/>
    <w:basedOn w:val="Normal"/>
    <w:link w:val="PiedepginaCar"/>
    <w:uiPriority w:val="99"/>
    <w:unhideWhenUsed/>
    <w:rsid w:val="002C3C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3CBD"/>
  </w:style>
  <w:style w:type="table" w:styleId="Tablaconcuadrcula">
    <w:name w:val="Table Grid"/>
    <w:basedOn w:val="Tablanormal"/>
    <w:uiPriority w:val="39"/>
    <w:rsid w:val="0053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semiHidden/>
    <w:unhideWhenUsed/>
    <w:rsid w:val="00A115A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115A6"/>
  </w:style>
  <w:style w:type="character" w:styleId="Textodelmarcadordeposicin">
    <w:name w:val="Placeholder Text"/>
    <w:basedOn w:val="Fuentedeprrafopredeter"/>
    <w:uiPriority w:val="99"/>
    <w:semiHidden/>
    <w:rsid w:val="005C6432"/>
    <w:rPr>
      <w:color w:val="808080"/>
    </w:rPr>
  </w:style>
  <w:style w:type="paragraph" w:styleId="Textonotapie">
    <w:name w:val="footnote text"/>
    <w:basedOn w:val="Normal"/>
    <w:link w:val="TextonotapieCar"/>
    <w:uiPriority w:val="99"/>
    <w:semiHidden/>
    <w:unhideWhenUsed/>
    <w:rsid w:val="00232D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2D49"/>
    <w:rPr>
      <w:sz w:val="20"/>
      <w:szCs w:val="20"/>
    </w:rPr>
  </w:style>
  <w:style w:type="character" w:styleId="Refdenotaalpie">
    <w:name w:val="footnote reference"/>
    <w:basedOn w:val="Fuentedeprrafopredeter"/>
    <w:uiPriority w:val="99"/>
    <w:semiHidden/>
    <w:unhideWhenUsed/>
    <w:rsid w:val="00232D49"/>
    <w:rPr>
      <w:vertAlign w:val="superscript"/>
    </w:rPr>
  </w:style>
  <w:style w:type="character" w:customStyle="1" w:styleId="Ttulo3Car">
    <w:name w:val="Título 3 Car"/>
    <w:basedOn w:val="Fuentedeprrafopredeter"/>
    <w:link w:val="Ttulo3"/>
    <w:uiPriority w:val="9"/>
    <w:semiHidden/>
    <w:rsid w:val="00093B72"/>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4570B8"/>
    <w:pPr>
      <w:spacing w:after="0" w:line="240" w:lineRule="auto"/>
    </w:pPr>
  </w:style>
  <w:style w:type="character" w:styleId="Hipervnculovisitado">
    <w:name w:val="FollowedHyperlink"/>
    <w:basedOn w:val="Fuentedeprrafopredeter"/>
    <w:uiPriority w:val="99"/>
    <w:semiHidden/>
    <w:unhideWhenUsed/>
    <w:rsid w:val="009E759D"/>
    <w:rPr>
      <w:color w:val="954F72" w:themeColor="followedHyperlink"/>
      <w:u w:val="single"/>
    </w:rPr>
  </w:style>
  <w:style w:type="paragraph" w:styleId="Descripcin">
    <w:name w:val="caption"/>
    <w:basedOn w:val="Normal"/>
    <w:next w:val="Normal"/>
    <w:uiPriority w:val="35"/>
    <w:semiHidden/>
    <w:unhideWhenUsed/>
    <w:qFormat/>
    <w:rsid w:val="001B2E85"/>
    <w:pPr>
      <w:spacing w:after="200" w:line="240" w:lineRule="auto"/>
    </w:pPr>
    <w:rPr>
      <w:i/>
      <w:iCs/>
      <w:color w:val="44546A" w:themeColor="text2"/>
      <w:sz w:val="18"/>
      <w:szCs w:val="18"/>
    </w:rPr>
  </w:style>
  <w:style w:type="table" w:customStyle="1" w:styleId="Cuadrculadetablaclara1">
    <w:name w:val="Cuadrícula de tabla clara1"/>
    <w:basedOn w:val="Tablanormal"/>
    <w:uiPriority w:val="40"/>
    <w:rsid w:val="00631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631B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web1">
    <w:name w:val="Table Web 1"/>
    <w:basedOn w:val="Tablanormal"/>
    <w:uiPriority w:val="99"/>
    <w:rsid w:val="00631B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1">
    <w:name w:val="Mención sin resolver1"/>
    <w:basedOn w:val="Fuentedeprrafopredeter"/>
    <w:uiPriority w:val="99"/>
    <w:semiHidden/>
    <w:unhideWhenUsed/>
    <w:rsid w:val="000A10B3"/>
    <w:rPr>
      <w:color w:val="605E5C"/>
      <w:shd w:val="clear" w:color="auto" w:fill="E1DFDD"/>
    </w:rPr>
  </w:style>
  <w:style w:type="paragraph" w:customStyle="1" w:styleId="CM1">
    <w:name w:val="CM1"/>
    <w:basedOn w:val="Default"/>
    <w:next w:val="Default"/>
    <w:uiPriority w:val="99"/>
    <w:rsid w:val="005665E1"/>
    <w:rPr>
      <w:rFonts w:ascii="EUAlbertina" w:eastAsiaTheme="minorHAnsi" w:hAnsi="EUAlbertina" w:cstheme="minorBidi"/>
      <w:color w:val="auto"/>
      <w:lang w:eastAsia="en-US"/>
    </w:rPr>
  </w:style>
  <w:style w:type="paragraph" w:customStyle="1" w:styleId="CM3">
    <w:name w:val="CM3"/>
    <w:basedOn w:val="Default"/>
    <w:next w:val="Default"/>
    <w:uiPriority w:val="99"/>
    <w:rsid w:val="005665E1"/>
    <w:rPr>
      <w:rFonts w:ascii="EUAlbertina" w:eastAsiaTheme="minorHAnsi" w:hAnsi="EUAlbertina" w:cstheme="minorBidi"/>
      <w:color w:val="auto"/>
      <w:lang w:eastAsia="en-US"/>
    </w:rPr>
  </w:style>
  <w:style w:type="character" w:customStyle="1" w:styleId="PrrafodelistaCar">
    <w:name w:val="Párrafo de lista Car"/>
    <w:basedOn w:val="Fuentedeprrafopredeter"/>
    <w:link w:val="Prrafodelista"/>
    <w:uiPriority w:val="34"/>
    <w:rsid w:val="00E71E54"/>
  </w:style>
  <w:style w:type="character" w:customStyle="1" w:styleId="normaltextrun">
    <w:name w:val="normaltextrun"/>
    <w:basedOn w:val="Fuentedeprrafopredeter"/>
    <w:rsid w:val="008879FB"/>
  </w:style>
  <w:style w:type="paragraph" w:customStyle="1" w:styleId="Text1">
    <w:name w:val="Text 1"/>
    <w:basedOn w:val="Normal"/>
    <w:link w:val="Text1Char"/>
    <w:rsid w:val="00B5405E"/>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B5405E"/>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B5405E"/>
    <w:pPr>
      <w:spacing w:before="240" w:after="120" w:line="240" w:lineRule="auto"/>
      <w:jc w:val="both"/>
    </w:pPr>
    <w:rPr>
      <w:rFonts w:ascii="Arial" w:eastAsia="Times New Roman" w:hAnsi="Arial" w:cs="Arial"/>
      <w:noProof/>
      <w:sz w:val="24"/>
      <w:szCs w:val="24"/>
      <w:lang w:eastAsia="es-ES" w:bidi="es-ES"/>
    </w:rPr>
  </w:style>
  <w:style w:type="character" w:customStyle="1" w:styleId="Mencinsinresolver2">
    <w:name w:val="Mención sin resolver2"/>
    <w:basedOn w:val="Fuentedeprrafopredeter"/>
    <w:uiPriority w:val="99"/>
    <w:semiHidden/>
    <w:unhideWhenUsed/>
    <w:rsid w:val="00853602"/>
    <w:rPr>
      <w:color w:val="808080"/>
      <w:shd w:val="clear" w:color="auto" w:fill="E6E6E6"/>
    </w:rPr>
  </w:style>
  <w:style w:type="character" w:customStyle="1" w:styleId="Mencinsinresolver3">
    <w:name w:val="Mención sin resolver3"/>
    <w:basedOn w:val="Fuentedeprrafopredeter"/>
    <w:uiPriority w:val="99"/>
    <w:semiHidden/>
    <w:unhideWhenUsed/>
    <w:rsid w:val="00EE4565"/>
    <w:rPr>
      <w:color w:val="605E5C"/>
      <w:shd w:val="clear" w:color="auto" w:fill="E1DFDD"/>
    </w:rPr>
  </w:style>
  <w:style w:type="paragraph" w:customStyle="1" w:styleId="T3-5Normal">
    <w:name w:val="T3-5 Normal"/>
    <w:basedOn w:val="Normal"/>
    <w:link w:val="T3-5NormalCar"/>
    <w:qFormat/>
    <w:rsid w:val="00992468"/>
    <w:pPr>
      <w:spacing w:line="276" w:lineRule="auto"/>
      <w:ind w:left="714"/>
      <w:jc w:val="both"/>
    </w:pPr>
  </w:style>
  <w:style w:type="character" w:customStyle="1" w:styleId="T3-5NormalCar">
    <w:name w:val="T3-5 Normal Car"/>
    <w:basedOn w:val="Fuentedeprrafopredeter"/>
    <w:link w:val="T3-5Normal"/>
    <w:rsid w:val="00992468"/>
  </w:style>
  <w:style w:type="paragraph" w:customStyle="1" w:styleId="T2Normal">
    <w:name w:val="T2 Normal"/>
    <w:basedOn w:val="Normal"/>
    <w:link w:val="T2NormalCar"/>
    <w:uiPriority w:val="99"/>
    <w:qFormat/>
    <w:rsid w:val="001D42AB"/>
    <w:pPr>
      <w:spacing w:line="276" w:lineRule="auto"/>
      <w:ind w:left="357"/>
      <w:jc w:val="both"/>
    </w:pPr>
  </w:style>
  <w:style w:type="character" w:customStyle="1" w:styleId="T2NormalCar">
    <w:name w:val="T2 Normal Car"/>
    <w:basedOn w:val="Fuentedeprrafopredeter"/>
    <w:link w:val="T2Normal"/>
    <w:uiPriority w:val="99"/>
    <w:rsid w:val="001D42AB"/>
  </w:style>
  <w:style w:type="paragraph" w:customStyle="1" w:styleId="an">
    <w:name w:val="an"/>
    <w:basedOn w:val="Normal"/>
    <w:rsid w:val="001C3C1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6C6023"/>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customStyle="1" w:styleId="Ttulo5Car">
    <w:name w:val="Título 5 Car"/>
    <w:basedOn w:val="Fuentedeprrafopredeter"/>
    <w:link w:val="Ttulo5"/>
    <w:uiPriority w:val="9"/>
    <w:semiHidden/>
    <w:rsid w:val="00224D89"/>
    <w:rPr>
      <w:rFonts w:asciiTheme="majorHAnsi" w:eastAsiaTheme="majorEastAsia" w:hAnsiTheme="majorHAnsi" w:cstheme="majorBidi"/>
      <w:color w:val="2F5496" w:themeColor="accent1" w:themeShade="BF"/>
    </w:rPr>
  </w:style>
  <w:style w:type="paragraph" w:customStyle="1" w:styleId="msonormal0">
    <w:name w:val="msonormal"/>
    <w:basedOn w:val="Normal"/>
    <w:rsid w:val="00224D89"/>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paragraph" w:styleId="Sinespaciado">
    <w:name w:val="No Spacing"/>
    <w:aliases w:val="Común"/>
    <w:basedOn w:val="Normal"/>
    <w:uiPriority w:val="1"/>
    <w:qFormat/>
    <w:rsid w:val="00224D89"/>
    <w:pPr>
      <w:spacing w:after="200" w:line="240" w:lineRule="auto"/>
      <w:jc w:val="both"/>
    </w:pPr>
    <w:rPr>
      <w:rFonts w:ascii="Arial" w:hAnsi="Arial"/>
      <w:color w:val="C45911" w:themeColor="accent2" w:themeShade="BF"/>
    </w:rPr>
  </w:style>
  <w:style w:type="paragraph" w:customStyle="1" w:styleId="2">
    <w:name w:val="列出段落2"/>
    <w:basedOn w:val="Normal"/>
    <w:uiPriority w:val="99"/>
    <w:qFormat/>
    <w:rsid w:val="00224D89"/>
    <w:pPr>
      <w:widowControl w:val="0"/>
      <w:spacing w:after="0" w:line="240" w:lineRule="auto"/>
      <w:ind w:firstLineChars="200" w:firstLine="420"/>
      <w:jc w:val="both"/>
    </w:pPr>
    <w:rPr>
      <w:rFonts w:ascii="Calibri" w:eastAsia="SimSun" w:hAnsi="Calibri" w:cs="Times New Roman"/>
      <w:kern w:val="2"/>
      <w:sz w:val="21"/>
      <w:lang w:val="en-US" w:eastAsia="zh-CN"/>
    </w:rPr>
  </w:style>
  <w:style w:type="paragraph" w:customStyle="1" w:styleId="parrafo2">
    <w:name w:val="parrafo_2"/>
    <w:basedOn w:val="Normal"/>
    <w:rsid w:val="00224D89"/>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paragraph" w:customStyle="1" w:styleId="parrafo">
    <w:name w:val="parrafo"/>
    <w:basedOn w:val="Normal"/>
    <w:rsid w:val="00224D89"/>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24D89"/>
    <w:rPr>
      <w:b/>
      <w:bCs/>
    </w:rPr>
  </w:style>
  <w:style w:type="table" w:styleId="Sombreadoclaro-nfasis1">
    <w:name w:val="Light Shading Accent 1"/>
    <w:basedOn w:val="Tablanormal"/>
    <w:uiPriority w:val="60"/>
    <w:rsid w:val="00224D8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aconvietas">
    <w:name w:val="List Bullet"/>
    <w:basedOn w:val="Normal"/>
    <w:uiPriority w:val="99"/>
    <w:unhideWhenUsed/>
    <w:rsid w:val="00224D89"/>
    <w:pPr>
      <w:numPr>
        <w:numId w:val="5"/>
      </w:numPr>
      <w:contextualSpacing/>
      <w:jc w:val="both"/>
    </w:pPr>
  </w:style>
  <w:style w:type="character" w:customStyle="1" w:styleId="cf01">
    <w:name w:val="cf01"/>
    <w:basedOn w:val="Fuentedeprrafopredeter"/>
    <w:rsid w:val="002B7A75"/>
    <w:rPr>
      <w:rFonts w:ascii="Segoe UI" w:hAnsi="Segoe UI" w:cs="Segoe UI" w:hint="default"/>
      <w:sz w:val="18"/>
      <w:szCs w:val="18"/>
    </w:rPr>
  </w:style>
  <w:style w:type="table" w:customStyle="1" w:styleId="Tablaconcuadrcula1">
    <w:name w:val="Tabla con cuadrícula1"/>
    <w:basedOn w:val="Tablanormal"/>
    <w:next w:val="Tablaconcuadrcula"/>
    <w:uiPriority w:val="39"/>
    <w:rsid w:val="008D4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captulo">
    <w:name w:val="Título capítulo"/>
    <w:basedOn w:val="Normal"/>
    <w:rsid w:val="009C710D"/>
    <w:pPr>
      <w:widowControl w:val="0"/>
      <w:spacing w:after="0" w:line="360" w:lineRule="auto"/>
      <w:jc w:val="both"/>
    </w:pPr>
    <w:rPr>
      <w:rFonts w:ascii="Times New Roman" w:eastAsia="Times New Roman" w:hAnsi="Times New Roman" w:cs="Times New Roman"/>
      <w:b/>
      <w:snapToGrid w:val="0"/>
      <w:sz w:val="33"/>
      <w:szCs w:val="20"/>
      <w:lang w:val="es-ES_tradnl" w:eastAsia="es-ES"/>
    </w:rPr>
  </w:style>
  <w:style w:type="paragraph" w:customStyle="1" w:styleId="sangrado2">
    <w:name w:val="sangrado_2"/>
    <w:basedOn w:val="Normal"/>
    <w:rsid w:val="009C710D"/>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sangrado">
    <w:name w:val="sangrado"/>
    <w:basedOn w:val="Normal"/>
    <w:rsid w:val="009C710D"/>
    <w:pPr>
      <w:spacing w:before="100" w:beforeAutospacing="1" w:after="100" w:afterAutospacing="1" w:line="240" w:lineRule="auto"/>
      <w:ind w:left="1200"/>
    </w:pPr>
    <w:rPr>
      <w:rFonts w:ascii="Arial Unicode MS" w:eastAsia="Arial Unicode MS" w:hAnsi="Arial Unicode MS" w:cs="Arial Unicode MS"/>
      <w:sz w:val="24"/>
      <w:szCs w:val="24"/>
      <w:lang w:eastAsia="es-ES"/>
    </w:rPr>
  </w:style>
  <w:style w:type="character" w:styleId="Mencinsinresolver">
    <w:name w:val="Unresolved Mention"/>
    <w:basedOn w:val="Fuentedeprrafopredeter"/>
    <w:uiPriority w:val="99"/>
    <w:semiHidden/>
    <w:unhideWhenUsed/>
    <w:rsid w:val="00141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6809">
      <w:bodyDiv w:val="1"/>
      <w:marLeft w:val="0"/>
      <w:marRight w:val="0"/>
      <w:marTop w:val="0"/>
      <w:marBottom w:val="0"/>
      <w:divBdr>
        <w:top w:val="none" w:sz="0" w:space="0" w:color="auto"/>
        <w:left w:val="none" w:sz="0" w:space="0" w:color="auto"/>
        <w:bottom w:val="none" w:sz="0" w:space="0" w:color="auto"/>
        <w:right w:val="none" w:sz="0" w:space="0" w:color="auto"/>
      </w:divBdr>
    </w:div>
    <w:div w:id="242105595">
      <w:bodyDiv w:val="1"/>
      <w:marLeft w:val="0"/>
      <w:marRight w:val="0"/>
      <w:marTop w:val="0"/>
      <w:marBottom w:val="0"/>
      <w:divBdr>
        <w:top w:val="none" w:sz="0" w:space="0" w:color="auto"/>
        <w:left w:val="none" w:sz="0" w:space="0" w:color="auto"/>
        <w:bottom w:val="none" w:sz="0" w:space="0" w:color="auto"/>
        <w:right w:val="none" w:sz="0" w:space="0" w:color="auto"/>
      </w:divBdr>
    </w:div>
    <w:div w:id="260770033">
      <w:bodyDiv w:val="1"/>
      <w:marLeft w:val="0"/>
      <w:marRight w:val="0"/>
      <w:marTop w:val="0"/>
      <w:marBottom w:val="0"/>
      <w:divBdr>
        <w:top w:val="none" w:sz="0" w:space="0" w:color="auto"/>
        <w:left w:val="none" w:sz="0" w:space="0" w:color="auto"/>
        <w:bottom w:val="none" w:sz="0" w:space="0" w:color="auto"/>
        <w:right w:val="none" w:sz="0" w:space="0" w:color="auto"/>
      </w:divBdr>
    </w:div>
    <w:div w:id="532577716">
      <w:bodyDiv w:val="1"/>
      <w:marLeft w:val="0"/>
      <w:marRight w:val="0"/>
      <w:marTop w:val="0"/>
      <w:marBottom w:val="0"/>
      <w:divBdr>
        <w:top w:val="none" w:sz="0" w:space="0" w:color="auto"/>
        <w:left w:val="none" w:sz="0" w:space="0" w:color="auto"/>
        <w:bottom w:val="none" w:sz="0" w:space="0" w:color="auto"/>
        <w:right w:val="none" w:sz="0" w:space="0" w:color="auto"/>
      </w:divBdr>
    </w:div>
    <w:div w:id="798454945">
      <w:bodyDiv w:val="1"/>
      <w:marLeft w:val="0"/>
      <w:marRight w:val="0"/>
      <w:marTop w:val="0"/>
      <w:marBottom w:val="0"/>
      <w:divBdr>
        <w:top w:val="none" w:sz="0" w:space="0" w:color="auto"/>
        <w:left w:val="none" w:sz="0" w:space="0" w:color="auto"/>
        <w:bottom w:val="none" w:sz="0" w:space="0" w:color="auto"/>
        <w:right w:val="none" w:sz="0" w:space="0" w:color="auto"/>
      </w:divBdr>
    </w:div>
    <w:div w:id="971863761">
      <w:bodyDiv w:val="1"/>
      <w:marLeft w:val="0"/>
      <w:marRight w:val="0"/>
      <w:marTop w:val="0"/>
      <w:marBottom w:val="0"/>
      <w:divBdr>
        <w:top w:val="none" w:sz="0" w:space="0" w:color="auto"/>
        <w:left w:val="none" w:sz="0" w:space="0" w:color="auto"/>
        <w:bottom w:val="none" w:sz="0" w:space="0" w:color="auto"/>
        <w:right w:val="none" w:sz="0" w:space="0" w:color="auto"/>
      </w:divBdr>
    </w:div>
    <w:div w:id="1029992895">
      <w:bodyDiv w:val="1"/>
      <w:marLeft w:val="0"/>
      <w:marRight w:val="0"/>
      <w:marTop w:val="0"/>
      <w:marBottom w:val="0"/>
      <w:divBdr>
        <w:top w:val="none" w:sz="0" w:space="0" w:color="auto"/>
        <w:left w:val="none" w:sz="0" w:space="0" w:color="auto"/>
        <w:bottom w:val="none" w:sz="0" w:space="0" w:color="auto"/>
        <w:right w:val="none" w:sz="0" w:space="0" w:color="auto"/>
      </w:divBdr>
    </w:div>
    <w:div w:id="1156411455">
      <w:bodyDiv w:val="1"/>
      <w:marLeft w:val="0"/>
      <w:marRight w:val="0"/>
      <w:marTop w:val="0"/>
      <w:marBottom w:val="0"/>
      <w:divBdr>
        <w:top w:val="none" w:sz="0" w:space="0" w:color="auto"/>
        <w:left w:val="none" w:sz="0" w:space="0" w:color="auto"/>
        <w:bottom w:val="none" w:sz="0" w:space="0" w:color="auto"/>
        <w:right w:val="none" w:sz="0" w:space="0" w:color="auto"/>
      </w:divBdr>
    </w:div>
    <w:div w:id="1166281874">
      <w:bodyDiv w:val="1"/>
      <w:marLeft w:val="0"/>
      <w:marRight w:val="0"/>
      <w:marTop w:val="0"/>
      <w:marBottom w:val="0"/>
      <w:divBdr>
        <w:top w:val="none" w:sz="0" w:space="0" w:color="auto"/>
        <w:left w:val="none" w:sz="0" w:space="0" w:color="auto"/>
        <w:bottom w:val="none" w:sz="0" w:space="0" w:color="auto"/>
        <w:right w:val="none" w:sz="0" w:space="0" w:color="auto"/>
      </w:divBdr>
    </w:div>
    <w:div w:id="1214342730">
      <w:bodyDiv w:val="1"/>
      <w:marLeft w:val="0"/>
      <w:marRight w:val="0"/>
      <w:marTop w:val="0"/>
      <w:marBottom w:val="0"/>
      <w:divBdr>
        <w:top w:val="none" w:sz="0" w:space="0" w:color="auto"/>
        <w:left w:val="none" w:sz="0" w:space="0" w:color="auto"/>
        <w:bottom w:val="none" w:sz="0" w:space="0" w:color="auto"/>
        <w:right w:val="none" w:sz="0" w:space="0" w:color="auto"/>
      </w:divBdr>
    </w:div>
    <w:div w:id="1295869195">
      <w:bodyDiv w:val="1"/>
      <w:marLeft w:val="0"/>
      <w:marRight w:val="0"/>
      <w:marTop w:val="0"/>
      <w:marBottom w:val="0"/>
      <w:divBdr>
        <w:top w:val="none" w:sz="0" w:space="0" w:color="auto"/>
        <w:left w:val="none" w:sz="0" w:space="0" w:color="auto"/>
        <w:bottom w:val="none" w:sz="0" w:space="0" w:color="auto"/>
        <w:right w:val="none" w:sz="0" w:space="0" w:color="auto"/>
      </w:divBdr>
    </w:div>
    <w:div w:id="1435125002">
      <w:bodyDiv w:val="1"/>
      <w:marLeft w:val="0"/>
      <w:marRight w:val="0"/>
      <w:marTop w:val="0"/>
      <w:marBottom w:val="0"/>
      <w:divBdr>
        <w:top w:val="none" w:sz="0" w:space="0" w:color="auto"/>
        <w:left w:val="none" w:sz="0" w:space="0" w:color="auto"/>
        <w:bottom w:val="none" w:sz="0" w:space="0" w:color="auto"/>
        <w:right w:val="none" w:sz="0" w:space="0" w:color="auto"/>
      </w:divBdr>
    </w:div>
    <w:div w:id="1652950144">
      <w:bodyDiv w:val="1"/>
      <w:marLeft w:val="0"/>
      <w:marRight w:val="0"/>
      <w:marTop w:val="0"/>
      <w:marBottom w:val="0"/>
      <w:divBdr>
        <w:top w:val="none" w:sz="0" w:space="0" w:color="auto"/>
        <w:left w:val="none" w:sz="0" w:space="0" w:color="auto"/>
        <w:bottom w:val="none" w:sz="0" w:space="0" w:color="auto"/>
        <w:right w:val="none" w:sz="0" w:space="0" w:color="auto"/>
      </w:divBdr>
    </w:div>
    <w:div w:id="1925646099">
      <w:bodyDiv w:val="1"/>
      <w:marLeft w:val="0"/>
      <w:marRight w:val="0"/>
      <w:marTop w:val="0"/>
      <w:marBottom w:val="0"/>
      <w:divBdr>
        <w:top w:val="none" w:sz="0" w:space="0" w:color="auto"/>
        <w:left w:val="none" w:sz="0" w:space="0" w:color="auto"/>
        <w:bottom w:val="none" w:sz="0" w:space="0" w:color="auto"/>
        <w:right w:val="none" w:sz="0" w:space="0" w:color="auto"/>
      </w:divBdr>
    </w:div>
    <w:div w:id="1987392887">
      <w:bodyDiv w:val="1"/>
      <w:marLeft w:val="0"/>
      <w:marRight w:val="0"/>
      <w:marTop w:val="0"/>
      <w:marBottom w:val="0"/>
      <w:divBdr>
        <w:top w:val="none" w:sz="0" w:space="0" w:color="auto"/>
        <w:left w:val="none" w:sz="0" w:space="0" w:color="auto"/>
        <w:bottom w:val="none" w:sz="0" w:space="0" w:color="auto"/>
        <w:right w:val="none" w:sz="0" w:space="0" w:color="auto"/>
      </w:divBdr>
    </w:div>
    <w:div w:id="1992951641">
      <w:bodyDiv w:val="1"/>
      <w:marLeft w:val="0"/>
      <w:marRight w:val="0"/>
      <w:marTop w:val="0"/>
      <w:marBottom w:val="0"/>
      <w:divBdr>
        <w:top w:val="none" w:sz="0" w:space="0" w:color="auto"/>
        <w:left w:val="none" w:sz="0" w:space="0" w:color="auto"/>
        <w:bottom w:val="none" w:sz="0" w:space="0" w:color="auto"/>
        <w:right w:val="none" w:sz="0" w:space="0" w:color="auto"/>
      </w:divBdr>
    </w:div>
    <w:div w:id="20720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sustainableworldports.org/clean-marine-fuels/lng-bunkering/bunker-checklis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ortal.emsa.europa.eu/web/thetis/company-performance-calculato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0c365b-6832-45c3-93cc-6cffa751b5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BD1587E6E3ED4E87F55A935718CEA3" ma:contentTypeVersion="14" ma:contentTypeDescription="Create a new document." ma:contentTypeScope="" ma:versionID="51d5416b1257603c21db1ea13e56990d">
  <xsd:schema xmlns:xsd="http://www.w3.org/2001/XMLSchema" xmlns:xs="http://www.w3.org/2001/XMLSchema" xmlns:p="http://schemas.microsoft.com/office/2006/metadata/properties" xmlns:ns2="ee0c365b-6832-45c3-93cc-6cffa751b580" xmlns:ns3="30e6c438-e5dc-4da4-a46f-323d59664755" targetNamespace="http://schemas.microsoft.com/office/2006/metadata/properties" ma:root="true" ma:fieldsID="10654ddb2e88ba1fde1b15d232cbbcd2" ns2:_="" ns3:_="">
    <xsd:import namespace="ee0c365b-6832-45c3-93cc-6cffa751b580"/>
    <xsd:import namespace="30e6c438-e5dc-4da4-a46f-323d596647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c365b-6832-45c3-93cc-6cffa751b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f27d1f-851a-40fa-a545-ca6290f3a83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e6c438-e5dc-4da4-a46f-323d59664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6123F-0AD3-44EC-B926-FC9335532401}">
  <ds:schemaRefs>
    <ds:schemaRef ds:uri="http://schemas.microsoft.com/office/2006/metadata/properties"/>
    <ds:schemaRef ds:uri="http://schemas.microsoft.com/office/infopath/2007/PartnerControls"/>
    <ds:schemaRef ds:uri="ee0c365b-6832-45c3-93cc-6cffa751b580"/>
  </ds:schemaRefs>
</ds:datastoreItem>
</file>

<file path=customXml/itemProps2.xml><?xml version="1.0" encoding="utf-8"?>
<ds:datastoreItem xmlns:ds="http://schemas.openxmlformats.org/officeDocument/2006/customXml" ds:itemID="{4FE27D1E-CB0E-468C-9436-56B332234492}">
  <ds:schemaRefs>
    <ds:schemaRef ds:uri="http://schemas.microsoft.com/sharepoint/v3/contenttype/forms"/>
  </ds:schemaRefs>
</ds:datastoreItem>
</file>

<file path=customXml/itemProps3.xml><?xml version="1.0" encoding="utf-8"?>
<ds:datastoreItem xmlns:ds="http://schemas.openxmlformats.org/officeDocument/2006/customXml" ds:itemID="{ABBF13E9-99E8-45D7-9194-219FB985A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c365b-6832-45c3-93cc-6cffa751b580"/>
    <ds:schemaRef ds:uri="30e6c438-e5dc-4da4-a46f-323d59664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C0B16-2DD8-40BD-92B2-074023F8A4AD}">
  <ds:schemaRefs>
    <ds:schemaRef ds:uri="http://schemas.openxmlformats.org/officeDocument/2006/bibliography"/>
  </ds:schemaRefs>
</ds:datastoreItem>
</file>

<file path=docMetadata/LabelInfo.xml><?xml version="1.0" encoding="utf-8"?>
<clbl:labelList xmlns:clbl="http://schemas.microsoft.com/office/2020/mipLabelMetadata">
  <clbl:label id="{008f8310-773b-421c-bb16-a09e7820894b}" enabled="1" method="Standard" siteId="{8619c67c-945a-48ae-8e77-35b1b71c9b98}" removed="0"/>
  <clbl:label id="{275b26e1-e5ff-41fc-a44e-6d21bd924961}" enabled="0" method="" siteId="{275b26e1-e5ff-41fc-a44e-6d21bd924961}" removed="1"/>
</clbl:labelList>
</file>

<file path=docProps/app.xml><?xml version="1.0" encoding="utf-8"?>
<Properties xmlns="http://schemas.openxmlformats.org/officeDocument/2006/extended-properties" xmlns:vt="http://schemas.openxmlformats.org/officeDocument/2006/docPropsVTypes">
  <Template>Normal</Template>
  <TotalTime>3</TotalTime>
  <Pages>70</Pages>
  <Words>23882</Words>
  <Characters>131352</Characters>
  <Application>Microsoft Office Word</Application>
  <DocSecurity>0</DocSecurity>
  <Lines>1094</Lines>
  <Paragraphs>309</Paragraphs>
  <ScaleCrop>false</ScaleCrop>
  <HeadingPairs>
    <vt:vector size="6" baseType="variant">
      <vt:variant>
        <vt:lpstr>Título</vt:lpstr>
      </vt:variant>
      <vt:variant>
        <vt:i4>1</vt:i4>
      </vt:variant>
      <vt:variant>
        <vt:lpstr>Title</vt:lpstr>
      </vt:variant>
      <vt:variant>
        <vt:i4>1</vt:i4>
      </vt:variant>
      <vt:variant>
        <vt:lpstr>Títol</vt:lpstr>
      </vt:variant>
      <vt:variant>
        <vt:i4>1</vt:i4>
      </vt:variant>
    </vt:vector>
  </HeadingPairs>
  <TitlesOfParts>
    <vt:vector size="3" baseType="lpstr">
      <vt:lpstr/>
      <vt:lpstr/>
      <vt:lpstr/>
    </vt:vector>
  </TitlesOfParts>
  <Company>Hewlett-Packard Company</Company>
  <LinksUpToDate>false</LinksUpToDate>
  <CharactersWithSpaces>154925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María Verdesoto Gómez</dc:creator>
  <cp:keywords/>
  <dc:description/>
  <cp:lastModifiedBy>Verónica María Verdesoto Gómez</cp:lastModifiedBy>
  <cp:revision>4</cp:revision>
  <cp:lastPrinted>2026-05-07T16:09:00Z</cp:lastPrinted>
  <dcterms:created xsi:type="dcterms:W3CDTF">2026-05-07T16:08:00Z</dcterms:created>
  <dcterms:modified xsi:type="dcterms:W3CDTF">2026-05-26T06:48:00Z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0x01010037BD1587E6E3ED4E87F55A935718CEA3</vt:lpwstr>
  </property>
  <property fmtid="{D5CDD505-2E9C-101B-9397-08002B2CF9AE}" pid="4" name="MediaServiceImageTags">
    <vt:lpwstr/>
  </property>
</Properties>
</file>